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0341" w14:textId="77777777" w:rsidR="00C94638" w:rsidRDefault="00D371C5" w:rsidP="003260C0">
      <w:pPr>
        <w:spacing w:line="240" w:lineRule="atLeast"/>
        <w:outlineLvl w:val="0"/>
        <w:rPr>
          <w:rStyle w:val="PHEFrontpagemaintitle"/>
        </w:rPr>
      </w:pPr>
      <w:r>
        <w:rPr>
          <w:rStyle w:val="PHEFrontpagemaintitle"/>
        </w:rPr>
        <w:t xml:space="preserve">Public Health Dashboard </w:t>
      </w:r>
    </w:p>
    <w:p w14:paraId="37447AF1" w14:textId="13A4C884" w:rsidR="000D6412" w:rsidRDefault="00E6139D" w:rsidP="003260C0">
      <w:pPr>
        <w:spacing w:line="240" w:lineRule="atLeast"/>
        <w:outlineLvl w:val="0"/>
        <w:rPr>
          <w:rStyle w:val="PHEFrontpagemaintitle"/>
        </w:rPr>
      </w:pPr>
      <w:r>
        <w:rPr>
          <w:rStyle w:val="PHEFrontpagemaintitle"/>
        </w:rPr>
        <w:t>Criteria for service areas and indicators</w:t>
      </w:r>
    </w:p>
    <w:p w14:paraId="340831C1" w14:textId="77777777" w:rsidR="00C94638" w:rsidRPr="003B364D" w:rsidRDefault="00C94638" w:rsidP="003260C0">
      <w:pPr>
        <w:spacing w:line="240" w:lineRule="atLeast"/>
        <w:outlineLvl w:val="0"/>
        <w:rPr>
          <w:rStyle w:val="PHEFrontpagemaintitle"/>
        </w:rPr>
      </w:pPr>
    </w:p>
    <w:p w14:paraId="592D39F4" w14:textId="62D1957C" w:rsidR="000D6412" w:rsidRPr="00846C43" w:rsidRDefault="003D7D91" w:rsidP="003260C0">
      <w:pPr>
        <w:spacing w:line="240" w:lineRule="atLeast"/>
        <w:outlineLvl w:val="0"/>
        <w:rPr>
          <w:rStyle w:val="PHEFrontpagetitlesecondlevel"/>
        </w:rPr>
      </w:pPr>
      <w:r>
        <w:rPr>
          <w:rStyle w:val="PHEFrontpagetitlesecondlevel"/>
        </w:rPr>
        <w:t>May</w:t>
      </w:r>
      <w:r w:rsidR="00C94638">
        <w:rPr>
          <w:rStyle w:val="PHEFrontpagetitlesecondlevel"/>
        </w:rPr>
        <w:t xml:space="preserve"> </w:t>
      </w:r>
      <w:r w:rsidR="00D371C5">
        <w:rPr>
          <w:rStyle w:val="PHEFrontpagetitlesecondlevel"/>
        </w:rPr>
        <w:t>2018</w:t>
      </w:r>
    </w:p>
    <w:p w14:paraId="37152DA4" w14:textId="77777777" w:rsidR="000D6412" w:rsidRPr="003B364D" w:rsidRDefault="000D6412" w:rsidP="003260C0">
      <w:pPr>
        <w:pStyle w:val="PHEBodycopy"/>
        <w:spacing w:line="240" w:lineRule="atLeast"/>
      </w:pPr>
    </w:p>
    <w:p w14:paraId="4284CAEA" w14:textId="5D810F96" w:rsidR="007B65C9" w:rsidRPr="009E3727" w:rsidRDefault="003D7D91" w:rsidP="003260C0">
      <w:pPr>
        <w:pStyle w:val="PHEFrontpagesubtitle"/>
        <w:spacing w:line="240" w:lineRule="atLeast"/>
        <w:sectPr w:rsidR="007B65C9" w:rsidRPr="009E3727" w:rsidSect="008F3568">
          <w:footerReference w:type="even" r:id="rId12"/>
          <w:footerReference w:type="default" r:id="rId13"/>
          <w:headerReference w:type="first" r:id="rId14"/>
          <w:footerReference w:type="first" r:id="rId15"/>
          <w:pgSz w:w="11906" w:h="16838" w:code="9"/>
          <w:pgMar w:top="5065" w:right="1134" w:bottom="1134" w:left="1134" w:header="720" w:footer="720" w:gutter="0"/>
          <w:cols w:space="720"/>
          <w:titlePg/>
        </w:sectPr>
      </w:pPr>
      <w:r>
        <w:t xml:space="preserve"> </w:t>
      </w:r>
    </w:p>
    <w:p w14:paraId="0862FFBA" w14:textId="7C3151F5" w:rsidR="00D371C5" w:rsidRDefault="00D371C5" w:rsidP="003260C0">
      <w:pPr>
        <w:spacing w:line="240" w:lineRule="atLeast"/>
        <w:rPr>
          <w:rStyle w:val="PHEFrontpagemaintitle"/>
          <w:b w:val="0"/>
          <w:sz w:val="48"/>
          <w:szCs w:val="48"/>
        </w:rPr>
      </w:pPr>
      <w:r w:rsidRPr="00D371C5">
        <w:rPr>
          <w:rStyle w:val="PHEFrontpagemaintitle"/>
          <w:b w:val="0"/>
          <w:sz w:val="48"/>
          <w:szCs w:val="48"/>
        </w:rPr>
        <w:lastRenderedPageBreak/>
        <w:t>Introduction</w:t>
      </w:r>
    </w:p>
    <w:p w14:paraId="58F92BB4" w14:textId="77777777" w:rsidR="00D371C5" w:rsidRPr="004218E6" w:rsidRDefault="00D371C5" w:rsidP="003260C0">
      <w:pPr>
        <w:spacing w:line="240" w:lineRule="atLeast"/>
        <w:rPr>
          <w:rStyle w:val="PHEFrontpagemaintitle"/>
          <w:b w:val="0"/>
          <w:sz w:val="24"/>
          <w:szCs w:val="24"/>
        </w:rPr>
      </w:pPr>
    </w:p>
    <w:p w14:paraId="6A0E8DE0" w14:textId="268AE74F" w:rsidR="00D371C5" w:rsidRDefault="00D371C5" w:rsidP="00B65FB7">
      <w:pPr>
        <w:spacing w:line="276" w:lineRule="auto"/>
        <w:rPr>
          <w:szCs w:val="24"/>
        </w:rPr>
      </w:pPr>
      <w:r>
        <w:rPr>
          <w:szCs w:val="24"/>
        </w:rPr>
        <w:t xml:space="preserve">The Public Health Dashboard </w:t>
      </w:r>
      <w:r w:rsidR="00ED3F12">
        <w:rPr>
          <w:szCs w:val="24"/>
        </w:rPr>
        <w:t xml:space="preserve">(PHD) </w:t>
      </w:r>
      <w:proofErr w:type="gramStart"/>
      <w:r>
        <w:rPr>
          <w:szCs w:val="24"/>
        </w:rPr>
        <w:t>was launched</w:t>
      </w:r>
      <w:proofErr w:type="gramEnd"/>
      <w:r>
        <w:rPr>
          <w:szCs w:val="24"/>
        </w:rPr>
        <w:t xml:space="preserve"> in </w:t>
      </w:r>
      <w:r w:rsidR="00B65FB7">
        <w:rPr>
          <w:szCs w:val="24"/>
        </w:rPr>
        <w:t>October</w:t>
      </w:r>
      <w:r>
        <w:rPr>
          <w:szCs w:val="24"/>
        </w:rPr>
        <w:t xml:space="preserve"> 2017. Its intention is to support local decision making by bringing existing comparative data into one place and making it accessible to a wide audience</w:t>
      </w:r>
      <w:r w:rsidR="00CC71F1">
        <w:rPr>
          <w:szCs w:val="24"/>
        </w:rPr>
        <w:t>,</w:t>
      </w:r>
      <w:r>
        <w:rPr>
          <w:szCs w:val="24"/>
        </w:rPr>
        <w:t xml:space="preserve"> including locally elected politicians. The dashboard currently contains data on </w:t>
      </w:r>
      <w:r w:rsidR="00B65FB7">
        <w:rPr>
          <w:szCs w:val="24"/>
        </w:rPr>
        <w:t xml:space="preserve">services that fall within </w:t>
      </w:r>
      <w:r>
        <w:rPr>
          <w:szCs w:val="24"/>
        </w:rPr>
        <w:t xml:space="preserve">the local authority mandated </w:t>
      </w:r>
      <w:r w:rsidR="00B65FB7">
        <w:rPr>
          <w:szCs w:val="24"/>
        </w:rPr>
        <w:t>functions and public health grant conditions</w:t>
      </w:r>
      <w:r>
        <w:rPr>
          <w:szCs w:val="24"/>
        </w:rPr>
        <w:t xml:space="preserve"> </w:t>
      </w:r>
      <w:r w:rsidRPr="0071686F">
        <w:rPr>
          <w:szCs w:val="24"/>
        </w:rPr>
        <w:t>(best</w:t>
      </w:r>
      <w:r>
        <w:rPr>
          <w:szCs w:val="24"/>
        </w:rPr>
        <w:t xml:space="preserve"> start in life, childhood obesity, alcohol and drug treatment, NHS health checks and sexual health services)</w:t>
      </w:r>
      <w:r w:rsidR="00CC71F1">
        <w:rPr>
          <w:szCs w:val="24"/>
        </w:rPr>
        <w:t>,</w:t>
      </w:r>
      <w:r>
        <w:rPr>
          <w:szCs w:val="24"/>
        </w:rPr>
        <w:t xml:space="preserve"> plus tobacco control.  </w:t>
      </w:r>
    </w:p>
    <w:p w14:paraId="3A27773B" w14:textId="77777777" w:rsidR="00CC71F1" w:rsidRDefault="00CC71F1" w:rsidP="00B65FB7">
      <w:pPr>
        <w:spacing w:line="276" w:lineRule="auto"/>
        <w:rPr>
          <w:szCs w:val="24"/>
        </w:rPr>
      </w:pPr>
    </w:p>
    <w:p w14:paraId="4B65C362" w14:textId="25B4D884" w:rsidR="00D371C5" w:rsidRDefault="00D371C5" w:rsidP="00B65FB7">
      <w:pPr>
        <w:spacing w:line="276" w:lineRule="auto"/>
        <w:rPr>
          <w:szCs w:val="24"/>
        </w:rPr>
      </w:pPr>
      <w:r>
        <w:rPr>
          <w:szCs w:val="24"/>
        </w:rPr>
        <w:t xml:space="preserve">For each service area there is one overall summary rank indicator and several component indicators. </w:t>
      </w:r>
      <w:r w:rsidR="00CC71F1">
        <w:rPr>
          <w:szCs w:val="24"/>
        </w:rPr>
        <w:t>E</w:t>
      </w:r>
      <w:r>
        <w:rPr>
          <w:szCs w:val="24"/>
        </w:rPr>
        <w:t>ach local authority in each of the seven areas of delivery has been given a ranking and category description that describes how local delivery compares with all other local authorities, both in England as a whole and also within each local authority’s deprivation decile. The Public Health Dashboard is presented on Public Health England’s “Healthier Lives” platform.</w:t>
      </w:r>
    </w:p>
    <w:p w14:paraId="1A056DDB" w14:textId="77777777" w:rsidR="00D371C5" w:rsidRDefault="00D371C5" w:rsidP="00B65FB7">
      <w:pPr>
        <w:spacing w:line="276" w:lineRule="auto"/>
        <w:rPr>
          <w:szCs w:val="24"/>
        </w:rPr>
      </w:pPr>
    </w:p>
    <w:p w14:paraId="5D542992" w14:textId="7EEF0B8E" w:rsidR="00D371C5" w:rsidRDefault="00D97FD9" w:rsidP="00B65FB7">
      <w:pPr>
        <w:spacing w:line="276" w:lineRule="auto"/>
        <w:rPr>
          <w:szCs w:val="24"/>
        </w:rPr>
      </w:pPr>
      <w:r>
        <w:rPr>
          <w:szCs w:val="24"/>
        </w:rPr>
        <w:t>T</w:t>
      </w:r>
      <w:r w:rsidR="00D371C5">
        <w:rPr>
          <w:szCs w:val="24"/>
        </w:rPr>
        <w:t>he tool was initially accessible via a password protected website</w:t>
      </w:r>
      <w:r>
        <w:rPr>
          <w:szCs w:val="24"/>
        </w:rPr>
        <w:t xml:space="preserve"> only</w:t>
      </w:r>
      <w:r w:rsidR="00D371C5">
        <w:rPr>
          <w:szCs w:val="24"/>
        </w:rPr>
        <w:t>. The details were sent out to Directors of Public Health</w:t>
      </w:r>
      <w:r w:rsidR="00185698">
        <w:rPr>
          <w:szCs w:val="24"/>
        </w:rPr>
        <w:t xml:space="preserve"> asking for feedback related to the suitability and accuracy of the data within the tool</w:t>
      </w:r>
      <w:r w:rsidR="00F01BEC">
        <w:rPr>
          <w:szCs w:val="24"/>
        </w:rPr>
        <w:t>,</w:t>
      </w:r>
      <w:r w:rsidR="00185698">
        <w:rPr>
          <w:szCs w:val="24"/>
        </w:rPr>
        <w:t xml:space="preserve"> and the general functionality.</w:t>
      </w:r>
      <w:r w:rsidR="00D371C5">
        <w:rPr>
          <w:szCs w:val="24"/>
        </w:rPr>
        <w:t xml:space="preserve"> </w:t>
      </w:r>
      <w:r>
        <w:rPr>
          <w:szCs w:val="24"/>
        </w:rPr>
        <w:t>S</w:t>
      </w:r>
      <w:r w:rsidR="00D371C5">
        <w:rPr>
          <w:szCs w:val="24"/>
        </w:rPr>
        <w:t>ome improvements</w:t>
      </w:r>
      <w:r>
        <w:rPr>
          <w:szCs w:val="24"/>
        </w:rPr>
        <w:t xml:space="preserve"> </w:t>
      </w:r>
      <w:proofErr w:type="gramStart"/>
      <w:r>
        <w:rPr>
          <w:szCs w:val="24"/>
        </w:rPr>
        <w:t>were then made</w:t>
      </w:r>
      <w:proofErr w:type="gramEnd"/>
      <w:r w:rsidR="00D371C5">
        <w:rPr>
          <w:szCs w:val="24"/>
        </w:rPr>
        <w:t xml:space="preserve"> </w:t>
      </w:r>
      <w:r w:rsidR="008A2E54">
        <w:rPr>
          <w:szCs w:val="24"/>
        </w:rPr>
        <w:t>to the Dashboa</w:t>
      </w:r>
      <w:r w:rsidR="00F01BEC">
        <w:rPr>
          <w:szCs w:val="24"/>
        </w:rPr>
        <w:t xml:space="preserve">rd </w:t>
      </w:r>
      <w:r w:rsidR="00D371C5">
        <w:rPr>
          <w:szCs w:val="24"/>
        </w:rPr>
        <w:t xml:space="preserve">before the password protection was removed in mid-October. </w:t>
      </w:r>
    </w:p>
    <w:p w14:paraId="00CBBD08" w14:textId="77777777" w:rsidR="00D371C5" w:rsidRDefault="00D371C5" w:rsidP="00B65FB7">
      <w:pPr>
        <w:spacing w:line="276" w:lineRule="auto"/>
        <w:rPr>
          <w:szCs w:val="24"/>
        </w:rPr>
      </w:pPr>
    </w:p>
    <w:p w14:paraId="231F7A1B" w14:textId="7CC1B45D" w:rsidR="00D371C5" w:rsidRPr="00B420A5" w:rsidRDefault="00D97FD9" w:rsidP="00B65FB7">
      <w:pPr>
        <w:spacing w:line="276" w:lineRule="auto"/>
        <w:rPr>
          <w:szCs w:val="24"/>
        </w:rPr>
      </w:pPr>
      <w:r>
        <w:rPr>
          <w:szCs w:val="24"/>
        </w:rPr>
        <w:t xml:space="preserve">Further feedback was sought </w:t>
      </w:r>
      <w:r w:rsidR="00D371C5">
        <w:rPr>
          <w:szCs w:val="24"/>
        </w:rPr>
        <w:t>until the end of Novembe</w:t>
      </w:r>
      <w:r>
        <w:rPr>
          <w:szCs w:val="24"/>
        </w:rPr>
        <w:t>r 2017</w:t>
      </w:r>
      <w:r w:rsidR="00D371C5">
        <w:rPr>
          <w:szCs w:val="24"/>
        </w:rPr>
        <w:t xml:space="preserve">. This document summarises the feedback that was received </w:t>
      </w:r>
      <w:r w:rsidR="00F01BEC">
        <w:rPr>
          <w:szCs w:val="24"/>
        </w:rPr>
        <w:t xml:space="preserve">on the data and tool functionality </w:t>
      </w:r>
      <w:r w:rsidR="00D371C5">
        <w:rPr>
          <w:szCs w:val="24"/>
        </w:rPr>
        <w:t xml:space="preserve">up until the end of November and proposes developments to the tool ahead of the official launch in July 2018. The priority of the proposed developments </w:t>
      </w:r>
      <w:r w:rsidR="00F01BEC">
        <w:rPr>
          <w:szCs w:val="24"/>
        </w:rPr>
        <w:t xml:space="preserve">is </w:t>
      </w:r>
      <w:r w:rsidR="00D371C5">
        <w:rPr>
          <w:szCs w:val="24"/>
        </w:rPr>
        <w:t>based on the feedback received from users.</w:t>
      </w:r>
    </w:p>
    <w:p w14:paraId="172AB5DB" w14:textId="77777777" w:rsidR="00067A12" w:rsidRPr="000624E4" w:rsidRDefault="00067A12" w:rsidP="003260C0">
      <w:pPr>
        <w:spacing w:line="240" w:lineRule="atLeast"/>
        <w:rPr>
          <w:rStyle w:val="PHEFrontpagemaintitle"/>
          <w:b w:val="0"/>
          <w:sz w:val="40"/>
          <w:szCs w:val="48"/>
        </w:rPr>
      </w:pPr>
    </w:p>
    <w:p w14:paraId="44780D5F" w14:textId="17E999F5" w:rsidR="00D371C5" w:rsidRDefault="00E6139D" w:rsidP="003260C0">
      <w:pPr>
        <w:spacing w:line="240" w:lineRule="atLeast"/>
        <w:rPr>
          <w:rStyle w:val="PHEFrontpagemaintitle"/>
          <w:b w:val="0"/>
          <w:sz w:val="48"/>
          <w:szCs w:val="48"/>
        </w:rPr>
      </w:pPr>
      <w:r>
        <w:rPr>
          <w:rStyle w:val="PHEFrontpagemaintitle"/>
          <w:b w:val="0"/>
          <w:sz w:val="48"/>
          <w:szCs w:val="48"/>
        </w:rPr>
        <w:t>Criteria for service areas</w:t>
      </w:r>
      <w:r w:rsidR="00D371C5" w:rsidRPr="00D371C5">
        <w:rPr>
          <w:rStyle w:val="PHEFrontpagemaintitle"/>
          <w:b w:val="0"/>
          <w:sz w:val="48"/>
          <w:szCs w:val="48"/>
        </w:rPr>
        <w:t xml:space="preserve"> </w:t>
      </w:r>
    </w:p>
    <w:p w14:paraId="4CA5DB14" w14:textId="77777777" w:rsidR="00D107D4" w:rsidRDefault="00D107D4" w:rsidP="003260C0">
      <w:pPr>
        <w:spacing w:line="240" w:lineRule="atLeast"/>
        <w:rPr>
          <w:rStyle w:val="PHEFrontpagemaintitle"/>
          <w:b w:val="0"/>
          <w:sz w:val="24"/>
          <w:szCs w:val="24"/>
        </w:rPr>
      </w:pPr>
    </w:p>
    <w:p w14:paraId="063335AA" w14:textId="77777777" w:rsidR="00067A12" w:rsidRPr="00171763" w:rsidRDefault="00067A12" w:rsidP="00B65FB7">
      <w:pPr>
        <w:spacing w:line="276" w:lineRule="auto"/>
        <w:rPr>
          <w:szCs w:val="24"/>
        </w:rPr>
      </w:pPr>
      <w:r w:rsidRPr="00171763">
        <w:rPr>
          <w:szCs w:val="24"/>
        </w:rPr>
        <w:t>The Public Health Dashboard currently covers the mandated public health services (plus tobacco control</w:t>
      </w:r>
      <w:r>
        <w:rPr>
          <w:szCs w:val="24"/>
        </w:rPr>
        <w:t xml:space="preserve"> and drug and alcohol treatment</w:t>
      </w:r>
      <w:r w:rsidRPr="00171763">
        <w:rPr>
          <w:szCs w:val="24"/>
        </w:rPr>
        <w:t>). It does not nor is it designed to cover the entirety of the public health activity local authorities undertake. However, further service areas and indicators will be added to the Dashboard according to the following criteria:</w:t>
      </w:r>
    </w:p>
    <w:p w14:paraId="759E7EB7" w14:textId="77777777" w:rsidR="00067A12" w:rsidRDefault="00067A12" w:rsidP="00067A12">
      <w:pPr>
        <w:spacing w:line="240" w:lineRule="exact"/>
        <w:rPr>
          <w:szCs w:val="24"/>
        </w:rPr>
      </w:pPr>
      <w:r>
        <w:rPr>
          <w:szCs w:val="24"/>
        </w:rPr>
        <w:t xml:space="preserve">  </w:t>
      </w:r>
    </w:p>
    <w:p w14:paraId="5C702904" w14:textId="77777777" w:rsidR="00067A12" w:rsidRDefault="00067A12" w:rsidP="00067A12">
      <w:pPr>
        <w:spacing w:line="240" w:lineRule="exact"/>
        <w:rPr>
          <w:szCs w:val="24"/>
        </w:rPr>
      </w:pPr>
      <w:r>
        <w:rPr>
          <w:szCs w:val="24"/>
        </w:rPr>
        <w:t>Criteria for service areas:</w:t>
      </w:r>
      <w:bookmarkStart w:id="0" w:name="_GoBack"/>
      <w:bookmarkEnd w:id="0"/>
    </w:p>
    <w:p w14:paraId="615F44ED" w14:textId="77777777" w:rsidR="00067A12" w:rsidRDefault="00067A12" w:rsidP="00067A12">
      <w:pPr>
        <w:spacing w:line="240" w:lineRule="exact"/>
        <w:rPr>
          <w:szCs w:val="24"/>
        </w:rPr>
      </w:pPr>
    </w:p>
    <w:p w14:paraId="12E07E6F" w14:textId="12C454C2" w:rsidR="000624E4" w:rsidRPr="000624E4" w:rsidRDefault="00067A12" w:rsidP="000624E4">
      <w:pPr>
        <w:pStyle w:val="ListParagraph"/>
        <w:numPr>
          <w:ilvl w:val="0"/>
          <w:numId w:val="26"/>
        </w:numPr>
        <w:ind w:left="360"/>
        <w:rPr>
          <w:rFonts w:ascii="Arial" w:hAnsi="Arial" w:cs="Arial"/>
          <w:sz w:val="24"/>
          <w:szCs w:val="24"/>
        </w:rPr>
      </w:pPr>
      <w:r w:rsidRPr="000624E4">
        <w:rPr>
          <w:rFonts w:ascii="Arial" w:hAnsi="Arial" w:cs="Arial"/>
          <w:sz w:val="24"/>
          <w:szCs w:val="24"/>
        </w:rPr>
        <w:t xml:space="preserve">It is a mandated or statutory </w:t>
      </w:r>
      <w:proofErr w:type="gramStart"/>
      <w:r w:rsidRPr="000624E4">
        <w:rPr>
          <w:rFonts w:ascii="Arial" w:hAnsi="Arial" w:cs="Arial"/>
          <w:sz w:val="24"/>
          <w:szCs w:val="24"/>
        </w:rPr>
        <w:t>services</w:t>
      </w:r>
      <w:proofErr w:type="gramEnd"/>
      <w:r w:rsidRPr="000624E4">
        <w:rPr>
          <w:rFonts w:ascii="Arial" w:hAnsi="Arial" w:cs="Arial"/>
          <w:sz w:val="24"/>
          <w:szCs w:val="24"/>
        </w:rPr>
        <w:t xml:space="preserve"> that local authorities are required to deliver in law or are specified in grant conditions. </w:t>
      </w:r>
    </w:p>
    <w:p w14:paraId="495F1249" w14:textId="7B3B2CBB" w:rsidR="000624E4" w:rsidRPr="000624E4" w:rsidRDefault="00067A12" w:rsidP="000624E4">
      <w:pPr>
        <w:pStyle w:val="ListParagraph"/>
        <w:numPr>
          <w:ilvl w:val="0"/>
          <w:numId w:val="26"/>
        </w:numPr>
        <w:ind w:left="360"/>
        <w:rPr>
          <w:rFonts w:ascii="Arial" w:hAnsi="Arial" w:cs="Arial"/>
          <w:sz w:val="24"/>
          <w:szCs w:val="24"/>
        </w:rPr>
      </w:pPr>
      <w:r w:rsidRPr="000624E4">
        <w:rPr>
          <w:rFonts w:ascii="Arial" w:hAnsi="Arial" w:cs="Arial"/>
          <w:sz w:val="24"/>
          <w:szCs w:val="24"/>
        </w:rPr>
        <w:t>There is evidence that delivery and equity of access to the service has an impact on population health and wellbeing.</w:t>
      </w:r>
    </w:p>
    <w:p w14:paraId="370AEEFD" w14:textId="21384283" w:rsidR="000624E4" w:rsidRPr="000624E4" w:rsidRDefault="00067A12" w:rsidP="000624E4">
      <w:pPr>
        <w:pStyle w:val="ListParagraph"/>
        <w:numPr>
          <w:ilvl w:val="0"/>
          <w:numId w:val="26"/>
        </w:numPr>
        <w:ind w:left="360"/>
        <w:rPr>
          <w:rFonts w:ascii="Arial" w:hAnsi="Arial" w:cs="Arial"/>
          <w:sz w:val="24"/>
          <w:szCs w:val="24"/>
        </w:rPr>
      </w:pPr>
      <w:r w:rsidRPr="000624E4">
        <w:rPr>
          <w:rFonts w:ascii="Arial" w:hAnsi="Arial" w:cs="Arial"/>
          <w:sz w:val="24"/>
          <w:szCs w:val="24"/>
        </w:rPr>
        <w:t xml:space="preserve">There is a very robust evidence base on the cost-effectiveness of interventions in the service area that will improve health and wellbeing. </w:t>
      </w:r>
    </w:p>
    <w:p w14:paraId="13D27610" w14:textId="74E2190B" w:rsidR="000624E4" w:rsidRPr="000624E4" w:rsidRDefault="00067A12" w:rsidP="000624E4">
      <w:pPr>
        <w:pStyle w:val="ListParagraph"/>
        <w:numPr>
          <w:ilvl w:val="0"/>
          <w:numId w:val="26"/>
        </w:numPr>
        <w:ind w:left="360"/>
        <w:rPr>
          <w:rFonts w:ascii="Arial" w:hAnsi="Arial" w:cs="Arial"/>
          <w:sz w:val="24"/>
          <w:szCs w:val="24"/>
        </w:rPr>
      </w:pPr>
      <w:r w:rsidRPr="000624E4">
        <w:rPr>
          <w:rFonts w:ascii="Arial" w:hAnsi="Arial" w:cs="Arial"/>
          <w:sz w:val="24"/>
          <w:szCs w:val="24"/>
        </w:rPr>
        <w:t xml:space="preserve">Local authorities can have a direct, measurable </w:t>
      </w:r>
      <w:proofErr w:type="gramStart"/>
      <w:r w:rsidRPr="000624E4">
        <w:rPr>
          <w:rFonts w:ascii="Arial" w:hAnsi="Arial" w:cs="Arial"/>
          <w:sz w:val="24"/>
          <w:szCs w:val="24"/>
        </w:rPr>
        <w:t>short term</w:t>
      </w:r>
      <w:proofErr w:type="gramEnd"/>
      <w:r w:rsidRPr="000624E4">
        <w:rPr>
          <w:rFonts w:ascii="Arial" w:hAnsi="Arial" w:cs="Arial"/>
          <w:sz w:val="24"/>
          <w:szCs w:val="24"/>
        </w:rPr>
        <w:t xml:space="preserve"> impact in the area.</w:t>
      </w:r>
    </w:p>
    <w:p w14:paraId="4A1F5CD3" w14:textId="1C235DCE" w:rsidR="00067A12" w:rsidRPr="000624E4" w:rsidRDefault="00067A12" w:rsidP="00B65FB7">
      <w:pPr>
        <w:pStyle w:val="ListParagraph"/>
        <w:numPr>
          <w:ilvl w:val="0"/>
          <w:numId w:val="26"/>
        </w:numPr>
        <w:ind w:left="360"/>
        <w:rPr>
          <w:rFonts w:ascii="Arial" w:hAnsi="Arial" w:cs="Arial"/>
          <w:sz w:val="24"/>
          <w:szCs w:val="24"/>
        </w:rPr>
      </w:pPr>
      <w:r w:rsidRPr="000624E4">
        <w:rPr>
          <w:rFonts w:ascii="Arial" w:hAnsi="Arial" w:cs="Arial"/>
          <w:sz w:val="24"/>
          <w:szCs w:val="24"/>
        </w:rPr>
        <w:t xml:space="preserve">Service delivery will </w:t>
      </w:r>
      <w:proofErr w:type="gramStart"/>
      <w:r w:rsidRPr="000624E4">
        <w:rPr>
          <w:rFonts w:ascii="Arial" w:hAnsi="Arial" w:cs="Arial"/>
          <w:sz w:val="24"/>
          <w:szCs w:val="24"/>
        </w:rPr>
        <w:t>impact on</w:t>
      </w:r>
      <w:proofErr w:type="gramEnd"/>
      <w:r w:rsidRPr="000624E4">
        <w:rPr>
          <w:rFonts w:ascii="Arial" w:hAnsi="Arial" w:cs="Arial"/>
          <w:sz w:val="24"/>
          <w:szCs w:val="24"/>
        </w:rPr>
        <w:t xml:space="preserve"> future demand for the NHS and local authority services.</w:t>
      </w:r>
    </w:p>
    <w:p w14:paraId="22E65034" w14:textId="1DAC6C3C" w:rsidR="00E6139D" w:rsidRDefault="00E6139D" w:rsidP="00E6139D">
      <w:pPr>
        <w:spacing w:line="240" w:lineRule="atLeast"/>
        <w:rPr>
          <w:rStyle w:val="PHEFrontpagemaintitle"/>
          <w:b w:val="0"/>
          <w:sz w:val="48"/>
          <w:szCs w:val="48"/>
        </w:rPr>
      </w:pPr>
      <w:r>
        <w:rPr>
          <w:rStyle w:val="PHEFrontpagemaintitle"/>
          <w:b w:val="0"/>
          <w:sz w:val="48"/>
          <w:szCs w:val="48"/>
        </w:rPr>
        <w:lastRenderedPageBreak/>
        <w:t>Criteria for indicators</w:t>
      </w:r>
      <w:r w:rsidRPr="00D371C5">
        <w:rPr>
          <w:rStyle w:val="PHEFrontpagemaintitle"/>
          <w:b w:val="0"/>
          <w:sz w:val="48"/>
          <w:szCs w:val="48"/>
        </w:rPr>
        <w:t xml:space="preserve"> </w:t>
      </w:r>
    </w:p>
    <w:p w14:paraId="7564CCFA" w14:textId="77777777" w:rsidR="00067A12" w:rsidRDefault="00067A12" w:rsidP="00067A12">
      <w:pPr>
        <w:spacing w:line="240" w:lineRule="exact"/>
        <w:ind w:left="360"/>
        <w:rPr>
          <w:szCs w:val="24"/>
        </w:rPr>
      </w:pPr>
    </w:p>
    <w:p w14:paraId="37187DD2" w14:textId="568624A0" w:rsidR="00067A12" w:rsidRDefault="00067A12" w:rsidP="00B65FB7">
      <w:pPr>
        <w:spacing w:line="276" w:lineRule="auto"/>
        <w:rPr>
          <w:szCs w:val="24"/>
        </w:rPr>
      </w:pPr>
      <w:r>
        <w:rPr>
          <w:szCs w:val="24"/>
        </w:rPr>
        <w:t>There are many possible indicators that can be used to measure delivery in services areas that meet the criteria above. However, indicators will be included if they meet the following criteria:</w:t>
      </w:r>
    </w:p>
    <w:p w14:paraId="1E7DAB2C" w14:textId="77777777" w:rsidR="00067A12" w:rsidRDefault="00067A12" w:rsidP="00B65FB7">
      <w:pPr>
        <w:spacing w:line="276" w:lineRule="auto"/>
        <w:ind w:left="360"/>
        <w:rPr>
          <w:szCs w:val="24"/>
        </w:rPr>
      </w:pPr>
    </w:p>
    <w:p w14:paraId="3567AB8B" w14:textId="77777777" w:rsidR="00067A12" w:rsidRDefault="00067A12" w:rsidP="00B65FB7">
      <w:pPr>
        <w:spacing w:line="276" w:lineRule="auto"/>
        <w:rPr>
          <w:szCs w:val="24"/>
        </w:rPr>
      </w:pPr>
      <w:r w:rsidRPr="0017739B">
        <w:rPr>
          <w:szCs w:val="24"/>
        </w:rPr>
        <w:t>Criteria for indicators</w:t>
      </w:r>
      <w:r>
        <w:rPr>
          <w:szCs w:val="24"/>
        </w:rPr>
        <w:t>:</w:t>
      </w:r>
    </w:p>
    <w:p w14:paraId="1EDBD81F" w14:textId="77777777" w:rsidR="00067A12" w:rsidRPr="0017739B" w:rsidRDefault="00067A12" w:rsidP="00B65FB7">
      <w:pPr>
        <w:spacing w:line="276" w:lineRule="auto"/>
        <w:rPr>
          <w:szCs w:val="24"/>
        </w:rPr>
      </w:pPr>
    </w:p>
    <w:p w14:paraId="5A0EEA33" w14:textId="0B60CAAB" w:rsidR="000624E4" w:rsidRPr="000624E4" w:rsidRDefault="00067A12" w:rsidP="000624E4">
      <w:pPr>
        <w:pStyle w:val="ListParagraph"/>
        <w:numPr>
          <w:ilvl w:val="0"/>
          <w:numId w:val="28"/>
        </w:numPr>
        <w:rPr>
          <w:rFonts w:ascii="Arial" w:hAnsi="Arial" w:cs="Arial"/>
          <w:sz w:val="24"/>
          <w:szCs w:val="24"/>
        </w:rPr>
      </w:pPr>
      <w:r w:rsidRPr="000624E4">
        <w:rPr>
          <w:rFonts w:ascii="Arial" w:hAnsi="Arial" w:cs="Arial"/>
          <w:sz w:val="24"/>
          <w:szCs w:val="24"/>
        </w:rPr>
        <w:t>A measure of health outcomes but if it is a very long-term outcome</w:t>
      </w:r>
      <w:r w:rsidR="000A6A9E" w:rsidRPr="000624E4">
        <w:rPr>
          <w:rFonts w:ascii="Arial" w:hAnsi="Arial" w:cs="Arial"/>
          <w:sz w:val="24"/>
          <w:szCs w:val="24"/>
        </w:rPr>
        <w:t xml:space="preserve"> (</w:t>
      </w:r>
      <w:r w:rsidRPr="000624E4">
        <w:rPr>
          <w:rFonts w:ascii="Arial" w:hAnsi="Arial" w:cs="Arial"/>
          <w:sz w:val="24"/>
          <w:szCs w:val="24"/>
        </w:rPr>
        <w:t>proxy outcome measures are possible</w:t>
      </w:r>
      <w:r w:rsidR="000A6A9E" w:rsidRPr="000624E4">
        <w:rPr>
          <w:rFonts w:ascii="Arial" w:hAnsi="Arial" w:cs="Arial"/>
          <w:sz w:val="24"/>
          <w:szCs w:val="24"/>
        </w:rPr>
        <w:t>, but not those relating to staffing or spend)</w:t>
      </w:r>
    </w:p>
    <w:p w14:paraId="59019B2E" w14:textId="74D30851" w:rsidR="000624E4" w:rsidRPr="000624E4" w:rsidRDefault="000A6A9E" w:rsidP="000624E4">
      <w:pPr>
        <w:pStyle w:val="ListParagraph"/>
        <w:numPr>
          <w:ilvl w:val="0"/>
          <w:numId w:val="28"/>
        </w:numPr>
        <w:rPr>
          <w:rFonts w:ascii="Arial" w:hAnsi="Arial" w:cs="Arial"/>
          <w:sz w:val="24"/>
          <w:szCs w:val="24"/>
        </w:rPr>
      </w:pPr>
      <w:r w:rsidRPr="000624E4">
        <w:rPr>
          <w:rFonts w:ascii="Arial" w:hAnsi="Arial" w:cs="Arial"/>
          <w:sz w:val="24"/>
          <w:szCs w:val="24"/>
        </w:rPr>
        <w:t>I</w:t>
      </w:r>
      <w:r w:rsidR="00067A12" w:rsidRPr="000624E4">
        <w:rPr>
          <w:rFonts w:ascii="Arial" w:hAnsi="Arial" w:cs="Arial"/>
          <w:sz w:val="24"/>
          <w:szCs w:val="24"/>
        </w:rPr>
        <w:t>ncluded in the Public Health Outcomes Framework</w:t>
      </w:r>
      <w:r w:rsidRPr="000624E4">
        <w:rPr>
          <w:rFonts w:ascii="Arial" w:hAnsi="Arial" w:cs="Arial"/>
          <w:sz w:val="24"/>
          <w:szCs w:val="24"/>
        </w:rPr>
        <w:t xml:space="preserve"> or other standard indicator set.</w:t>
      </w:r>
    </w:p>
    <w:p w14:paraId="21EEF1D4" w14:textId="77777777" w:rsidR="00067A12" w:rsidRPr="000A6A9E" w:rsidRDefault="00067A12" w:rsidP="00B65FB7">
      <w:pPr>
        <w:pStyle w:val="ListParagraph"/>
        <w:numPr>
          <w:ilvl w:val="0"/>
          <w:numId w:val="28"/>
        </w:numPr>
        <w:rPr>
          <w:rFonts w:ascii="Arial" w:hAnsi="Arial" w:cs="Arial"/>
          <w:sz w:val="24"/>
          <w:szCs w:val="24"/>
        </w:rPr>
      </w:pPr>
      <w:r w:rsidRPr="000A6A9E">
        <w:rPr>
          <w:rFonts w:ascii="Arial" w:hAnsi="Arial" w:cs="Arial"/>
          <w:sz w:val="24"/>
          <w:szCs w:val="24"/>
        </w:rPr>
        <w:t>Meets the technical criteria for inclusion in the Public Health Outcomes Framework:</w:t>
      </w:r>
    </w:p>
    <w:p w14:paraId="66C013CD" w14:textId="61937A6F"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Cl</w:t>
      </w:r>
      <w:r w:rsidR="000A6A9E">
        <w:rPr>
          <w:rFonts w:ascii="Arial" w:hAnsi="Arial" w:cs="Arial"/>
          <w:sz w:val="24"/>
          <w:szCs w:val="24"/>
        </w:rPr>
        <w:t>arity - clear what it measures</w:t>
      </w:r>
    </w:p>
    <w:p w14:paraId="71CCF187" w14:textId="77777777" w:rsid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Rationale - why, addresses a specific policy issue or draws attention to a particular outcome </w:t>
      </w:r>
    </w:p>
    <w:p w14:paraId="71C48BBE" w14:textId="5E5AB5E3"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Relevance - relevant to the policy and action available to improve </w:t>
      </w:r>
    </w:p>
    <w:p w14:paraId="1C31E3EC" w14:textId="77777777"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Attributable - measures progress attributable to the interventions/activities </w:t>
      </w:r>
    </w:p>
    <w:p w14:paraId="41019DCA" w14:textId="77777777"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Interpretation - is meaningful to the intended audience(s) </w:t>
      </w:r>
    </w:p>
    <w:p w14:paraId="760F2C0A" w14:textId="5900AA64"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Validity - has an unambiguous definition, is methodologically and technically sound from a reliable data source which is available at an appropriate level (e.g. LA) to make it meaningful and sustainable </w:t>
      </w:r>
    </w:p>
    <w:p w14:paraId="3F197DC9" w14:textId="77777777"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Construction - the methods used support the stated purpose of the indicator and there is transparency about how they have been tested and justified </w:t>
      </w:r>
    </w:p>
    <w:p w14:paraId="4FFB4F20" w14:textId="77777777"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Risks - any limitations, risks or perverse incentives identified and stated with any mitigating actions </w:t>
      </w:r>
    </w:p>
    <w:p w14:paraId="771766EC" w14:textId="77777777"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Availability - collected at sufficient level of geographical or organisational split </w:t>
      </w:r>
    </w:p>
    <w:p w14:paraId="57D465F1" w14:textId="6D0DA621"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Affordability &amp; v</w:t>
      </w:r>
      <w:r w:rsidR="000A6A9E">
        <w:rPr>
          <w:rFonts w:ascii="Arial" w:hAnsi="Arial" w:cs="Arial"/>
          <w:sz w:val="24"/>
          <w:szCs w:val="24"/>
        </w:rPr>
        <w:t>alue for money</w:t>
      </w:r>
      <w:r w:rsidRPr="000A6A9E">
        <w:rPr>
          <w:rFonts w:ascii="Arial" w:hAnsi="Arial" w:cs="Arial"/>
          <w:sz w:val="24"/>
          <w:szCs w:val="24"/>
        </w:rPr>
        <w:t xml:space="preserve"> - benefits without disproportionate costs and where new burdens created these will be estimated and sustainable funding identified </w:t>
      </w:r>
    </w:p>
    <w:p w14:paraId="0A57B249" w14:textId="77777777" w:rsidR="00067A12" w:rsidRPr="000A6A9E" w:rsidRDefault="00067A12" w:rsidP="00B65FB7">
      <w:pPr>
        <w:pStyle w:val="ListParagraph"/>
        <w:numPr>
          <w:ilvl w:val="1"/>
          <w:numId w:val="28"/>
        </w:numPr>
        <w:rPr>
          <w:rFonts w:ascii="Arial" w:hAnsi="Arial" w:cs="Arial"/>
          <w:sz w:val="24"/>
          <w:szCs w:val="24"/>
        </w:rPr>
      </w:pPr>
      <w:r w:rsidRPr="000A6A9E">
        <w:rPr>
          <w:rFonts w:ascii="Arial" w:hAnsi="Arial" w:cs="Arial"/>
          <w:sz w:val="24"/>
          <w:szCs w:val="24"/>
        </w:rPr>
        <w:t xml:space="preserve">Timeliness - with sufficient frequency and data time lag (ideally less than one year but may vary for surveys) </w:t>
      </w:r>
    </w:p>
    <w:p w14:paraId="79F764E3" w14:textId="77777777" w:rsidR="00E6139D" w:rsidRPr="004218E6" w:rsidRDefault="00E6139D" w:rsidP="003260C0">
      <w:pPr>
        <w:spacing w:line="240" w:lineRule="atLeast"/>
        <w:rPr>
          <w:rStyle w:val="PHEFrontpagemaintitle"/>
          <w:b w:val="0"/>
          <w:sz w:val="24"/>
          <w:szCs w:val="24"/>
        </w:rPr>
      </w:pPr>
    </w:p>
    <w:sectPr w:rsidR="00E6139D" w:rsidRPr="004218E6" w:rsidSect="0066185B">
      <w:headerReference w:type="default" r:id="rId16"/>
      <w:footerReference w:type="default" r:id="rId17"/>
      <w:headerReference w:type="first" r:id="rId18"/>
      <w:footerReference w:type="first" r:id="rId19"/>
      <w:pgSz w:w="11906" w:h="16838" w:code="9"/>
      <w:pgMar w:top="1701" w:right="907" w:bottom="1134" w:left="85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2991" w14:textId="77777777" w:rsidR="002B7EBF" w:rsidRDefault="002B7EBF">
      <w:r>
        <w:separator/>
      </w:r>
    </w:p>
    <w:p w14:paraId="254A8727" w14:textId="77777777" w:rsidR="002B7EBF" w:rsidRDefault="002B7EBF"/>
    <w:p w14:paraId="372FB72A" w14:textId="77777777" w:rsidR="002B7EBF" w:rsidRDefault="002B7EBF"/>
  </w:endnote>
  <w:endnote w:type="continuationSeparator" w:id="0">
    <w:p w14:paraId="5DE429F9" w14:textId="77777777" w:rsidR="002B7EBF" w:rsidRDefault="002B7EBF">
      <w:r>
        <w:continuationSeparator/>
      </w:r>
    </w:p>
    <w:p w14:paraId="152B0CD4" w14:textId="77777777" w:rsidR="002B7EBF" w:rsidRDefault="002B7EBF"/>
    <w:p w14:paraId="2F97CC8D" w14:textId="77777777" w:rsidR="002B7EBF" w:rsidRDefault="002B7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9165" w14:textId="77777777" w:rsidR="00DB5D10" w:rsidRDefault="00DB5D10">
    <w:pPr>
      <w:framePr w:wrap="around" w:vAnchor="text" w:hAnchor="margin" w:xAlign="right" w:y="1"/>
    </w:pPr>
    <w:r>
      <w:fldChar w:fldCharType="begin"/>
    </w:r>
    <w:r>
      <w:instrText xml:space="preserve">PAGE  </w:instrText>
    </w:r>
    <w:r>
      <w:fldChar w:fldCharType="end"/>
    </w:r>
  </w:p>
  <w:p w14:paraId="10679CA5" w14:textId="77777777" w:rsidR="00DB5D10" w:rsidRDefault="00DB5D1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AEB76" w14:textId="77777777" w:rsidR="00DB5D10" w:rsidRPr="00502BE9" w:rsidRDefault="00DB5D10">
    <w:pPr>
      <w:jc w:val="center"/>
    </w:pPr>
    <w:r w:rsidRPr="00502BE9">
      <w:fldChar w:fldCharType="begin"/>
    </w:r>
    <w:r w:rsidRPr="00502BE9">
      <w:instrText xml:space="preserve"> PAGE   \* MERGEFORMAT </w:instrText>
    </w:r>
    <w:r w:rsidRPr="00502BE9">
      <w:fldChar w:fldCharType="separate"/>
    </w:r>
    <w:r w:rsidR="004E23A4">
      <w:rPr>
        <w:noProof/>
      </w:rPr>
      <w:t>2</w:t>
    </w:r>
    <w:r w:rsidRPr="00502BE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4C3D" w14:textId="77777777" w:rsidR="00DB5D10" w:rsidRDefault="00181316">
    <w:pPr>
      <w:ind w:right="360"/>
    </w:pPr>
    <w:r>
      <w:rPr>
        <w:noProof/>
        <w:lang w:eastAsia="en-GB"/>
      </w:rPr>
      <mc:AlternateContent>
        <mc:Choice Requires="wps">
          <w:drawing>
            <wp:anchor distT="0" distB="0" distL="114300" distR="114300" simplePos="0" relativeHeight="251657728" behindDoc="0" locked="0" layoutInCell="1" allowOverlap="1" wp14:anchorId="3DA8DEE6" wp14:editId="127C0436">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83365"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" strokecolor="#00ae9e" strokeweight="7pt"/>
          </w:pict>
        </mc:Fallback>
      </mc:AlternateContent>
    </w:r>
    <w:r>
      <w:rPr>
        <w:noProof/>
        <w:lang w:eastAsia="en-GB"/>
      </w:rPr>
      <mc:AlternateContent>
        <mc:Choice Requires="wps">
          <w:drawing>
            <wp:anchor distT="0" distB="0" distL="114300" distR="114300" simplePos="0" relativeHeight="251656704" behindDoc="0" locked="0" layoutInCell="1" allowOverlap="1" wp14:anchorId="3ABA3940" wp14:editId="1533177B">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540832" id="Rectangle 6" o:spid="_x0000_s1026" style="position:absolute;margin-left:-74.95pt;margin-top:-18.35pt;width:621.1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A2DA" w14:textId="77777777" w:rsidR="004E23A4" w:rsidRPr="00BA6058" w:rsidRDefault="004E23A4">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sidR="000624E4">
      <w:rPr>
        <w:noProof/>
        <w:sz w:val="20"/>
      </w:rPr>
      <w:t>3</w:t>
    </w:r>
    <w:r w:rsidRPr="00BA6058">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027C" w14:textId="77777777" w:rsidR="0066185B" w:rsidRPr="001C268F" w:rsidRDefault="0066185B"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sidR="000624E4">
      <w:rPr>
        <w:noProof/>
        <w:sz w:val="20"/>
      </w:rPr>
      <w:t>2</w:t>
    </w:r>
    <w:r w:rsidRPr="001C268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7EB8" w14:textId="77777777" w:rsidR="002B7EBF" w:rsidRDefault="002B7EBF">
      <w:r>
        <w:separator/>
      </w:r>
    </w:p>
    <w:p w14:paraId="2365542E" w14:textId="77777777" w:rsidR="002B7EBF" w:rsidRDefault="002B7EBF"/>
    <w:p w14:paraId="015B1B71" w14:textId="77777777" w:rsidR="002B7EBF" w:rsidRDefault="002B7EBF"/>
  </w:footnote>
  <w:footnote w:type="continuationSeparator" w:id="0">
    <w:p w14:paraId="533CFBA8" w14:textId="77777777" w:rsidR="002B7EBF" w:rsidRDefault="002B7EBF">
      <w:r>
        <w:continuationSeparator/>
      </w:r>
    </w:p>
    <w:p w14:paraId="658F3202" w14:textId="77777777" w:rsidR="002B7EBF" w:rsidRDefault="002B7EBF"/>
    <w:p w14:paraId="417E744E" w14:textId="77777777" w:rsidR="002B7EBF" w:rsidRDefault="002B7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9B21" w14:textId="77777777" w:rsidR="00DB5D10" w:rsidRDefault="00181316" w:rsidP="009E3727">
    <w:pPr>
      <w:ind w:left="-284"/>
    </w:pPr>
    <w:r>
      <w:rPr>
        <w:noProof/>
        <w:lang w:eastAsia="en-GB"/>
      </w:rPr>
      <w:drawing>
        <wp:anchor distT="0" distB="0" distL="114300" distR="114300" simplePos="0" relativeHeight="251658752" behindDoc="0" locked="0" layoutInCell="1" allowOverlap="1" wp14:anchorId="5C5A7166" wp14:editId="14BD4FBE">
          <wp:simplePos x="0" y="0"/>
          <wp:positionH relativeFrom="column">
            <wp:posOffset>-659130</wp:posOffset>
          </wp:positionH>
          <wp:positionV relativeFrom="paragraph">
            <wp:posOffset>-442595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6A86" w14:textId="77777777" w:rsidR="00DB5D10" w:rsidRPr="006A608E" w:rsidRDefault="00247CDA" w:rsidP="006A608E">
    <w:pPr>
      <w:pStyle w:val="PHEMaintitleasrunningheader"/>
    </w:pPr>
    <w:r w:rsidRPr="006A608E">
      <w:t xml:space="preserve">Main title </w:t>
    </w:r>
    <w:r w:rsidR="00DB5D10" w:rsidRPr="006A608E">
      <w:t>goes here as running 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FACF6" w14:textId="77777777" w:rsidR="00DB5D10" w:rsidRPr="00F56588" w:rsidRDefault="00DB5D10" w:rsidP="006A608E">
    <w:pPr>
      <w:pStyle w:val="PHEMaintitleasrunningheader"/>
    </w:pPr>
    <w:r w:rsidRPr="009B3EFB">
      <w:t>Title goes here as running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44645"/>
    <w:multiLevelType w:val="hybridMultilevel"/>
    <w:tmpl w:val="15DCD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853C6"/>
    <w:multiLevelType w:val="hybridMultilevel"/>
    <w:tmpl w:val="14C6656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86FA6"/>
    <w:multiLevelType w:val="hybridMultilevel"/>
    <w:tmpl w:val="1050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B26FFF"/>
    <w:multiLevelType w:val="hybridMultilevel"/>
    <w:tmpl w:val="B54EE4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BC518A"/>
    <w:multiLevelType w:val="hybridMultilevel"/>
    <w:tmpl w:val="E69CAE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FDA0CF7"/>
    <w:multiLevelType w:val="hybridMultilevel"/>
    <w:tmpl w:val="242C0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073D76"/>
    <w:multiLevelType w:val="hybridMultilevel"/>
    <w:tmpl w:val="55982EE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D0047D"/>
    <w:multiLevelType w:val="hybridMultilevel"/>
    <w:tmpl w:val="DD185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3">
    <w:nsid w:val="45202BEF"/>
    <w:multiLevelType w:val="hybridMultilevel"/>
    <w:tmpl w:val="7832B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2713CB"/>
    <w:multiLevelType w:val="hybridMultilevel"/>
    <w:tmpl w:val="2326D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CD1F25"/>
    <w:multiLevelType w:val="hybridMultilevel"/>
    <w:tmpl w:val="2D84A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B02617"/>
    <w:multiLevelType w:val="hybridMultilevel"/>
    <w:tmpl w:val="E47645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3F73B7"/>
    <w:multiLevelType w:val="hybridMultilevel"/>
    <w:tmpl w:val="F8DCBBD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4D4C73"/>
    <w:multiLevelType w:val="hybridMultilevel"/>
    <w:tmpl w:val="45646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60050E0"/>
    <w:multiLevelType w:val="hybridMultilevel"/>
    <w:tmpl w:val="E6C0DFA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EA6307"/>
    <w:multiLevelType w:val="hybridMultilevel"/>
    <w:tmpl w:val="8ACC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4"/>
  </w:num>
  <w:num w:numId="5">
    <w:abstractNumId w:val="22"/>
  </w:num>
  <w:num w:numId="6">
    <w:abstractNumId w:val="21"/>
  </w:num>
  <w:num w:numId="7">
    <w:abstractNumId w:val="20"/>
  </w:num>
  <w:num w:numId="8">
    <w:abstractNumId w:val="11"/>
  </w:num>
  <w:num w:numId="9">
    <w:abstractNumId w:val="15"/>
  </w:num>
  <w:num w:numId="10">
    <w:abstractNumId w:val="7"/>
  </w:num>
  <w:num w:numId="11">
    <w:abstractNumId w:val="0"/>
  </w:num>
  <w:num w:numId="12">
    <w:abstractNumId w:val="27"/>
  </w:num>
  <w:num w:numId="13">
    <w:abstractNumId w:val="17"/>
  </w:num>
  <w:num w:numId="14">
    <w:abstractNumId w:val="6"/>
  </w:num>
  <w:num w:numId="15">
    <w:abstractNumId w:val="4"/>
  </w:num>
  <w:num w:numId="16">
    <w:abstractNumId w:val="10"/>
  </w:num>
  <w:num w:numId="17">
    <w:abstractNumId w:val="19"/>
  </w:num>
  <w:num w:numId="18">
    <w:abstractNumId w:val="3"/>
  </w:num>
  <w:num w:numId="19">
    <w:abstractNumId w:val="9"/>
  </w:num>
  <w:num w:numId="20">
    <w:abstractNumId w:val="8"/>
  </w:num>
  <w:num w:numId="21">
    <w:abstractNumId w:val="13"/>
  </w:num>
  <w:num w:numId="22">
    <w:abstractNumId w:val="1"/>
  </w:num>
  <w:num w:numId="23">
    <w:abstractNumId w:val="5"/>
  </w:num>
  <w:num w:numId="24">
    <w:abstractNumId w:val="23"/>
  </w:num>
  <w:num w:numId="25">
    <w:abstractNumId w:val="18"/>
  </w:num>
  <w:num w:numId="26">
    <w:abstractNumId w:val="16"/>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BF"/>
    <w:rsid w:val="00012F0C"/>
    <w:rsid w:val="0001370A"/>
    <w:rsid w:val="00013C14"/>
    <w:rsid w:val="00035943"/>
    <w:rsid w:val="000369C3"/>
    <w:rsid w:val="00040598"/>
    <w:rsid w:val="00045596"/>
    <w:rsid w:val="000458A0"/>
    <w:rsid w:val="000476C8"/>
    <w:rsid w:val="0005545E"/>
    <w:rsid w:val="00055B60"/>
    <w:rsid w:val="000614DE"/>
    <w:rsid w:val="000624E4"/>
    <w:rsid w:val="00062790"/>
    <w:rsid w:val="00067257"/>
    <w:rsid w:val="00067A12"/>
    <w:rsid w:val="00073BF0"/>
    <w:rsid w:val="000879FD"/>
    <w:rsid w:val="00087FD1"/>
    <w:rsid w:val="000A01E0"/>
    <w:rsid w:val="000A06DA"/>
    <w:rsid w:val="000A3725"/>
    <w:rsid w:val="000A6A9E"/>
    <w:rsid w:val="000C1A48"/>
    <w:rsid w:val="000C3FA2"/>
    <w:rsid w:val="000C59EF"/>
    <w:rsid w:val="000D3CA9"/>
    <w:rsid w:val="000D6412"/>
    <w:rsid w:val="000E375F"/>
    <w:rsid w:val="000F4C8A"/>
    <w:rsid w:val="00113761"/>
    <w:rsid w:val="00113ABE"/>
    <w:rsid w:val="00135863"/>
    <w:rsid w:val="00141352"/>
    <w:rsid w:val="001464EB"/>
    <w:rsid w:val="001564B7"/>
    <w:rsid w:val="00160325"/>
    <w:rsid w:val="001610F8"/>
    <w:rsid w:val="0017739B"/>
    <w:rsid w:val="00181316"/>
    <w:rsid w:val="001839BE"/>
    <w:rsid w:val="00185698"/>
    <w:rsid w:val="00190782"/>
    <w:rsid w:val="001A183A"/>
    <w:rsid w:val="001B595A"/>
    <w:rsid w:val="001B59F4"/>
    <w:rsid w:val="001B6BFF"/>
    <w:rsid w:val="001C268F"/>
    <w:rsid w:val="001D0714"/>
    <w:rsid w:val="001F47E2"/>
    <w:rsid w:val="001F6B78"/>
    <w:rsid w:val="001F6D46"/>
    <w:rsid w:val="0020553C"/>
    <w:rsid w:val="00213E39"/>
    <w:rsid w:val="00221B80"/>
    <w:rsid w:val="0023192F"/>
    <w:rsid w:val="00234EF6"/>
    <w:rsid w:val="00235E7C"/>
    <w:rsid w:val="002375D7"/>
    <w:rsid w:val="0024667D"/>
    <w:rsid w:val="00247CDA"/>
    <w:rsid w:val="002553F3"/>
    <w:rsid w:val="00256806"/>
    <w:rsid w:val="0027273F"/>
    <w:rsid w:val="00275E53"/>
    <w:rsid w:val="0027613C"/>
    <w:rsid w:val="00282B39"/>
    <w:rsid w:val="00284003"/>
    <w:rsid w:val="00286DB6"/>
    <w:rsid w:val="002917ED"/>
    <w:rsid w:val="00295D47"/>
    <w:rsid w:val="002A2775"/>
    <w:rsid w:val="002B005B"/>
    <w:rsid w:val="002B27AA"/>
    <w:rsid w:val="002B3CCC"/>
    <w:rsid w:val="002B7EBF"/>
    <w:rsid w:val="002D43D4"/>
    <w:rsid w:val="00302FA8"/>
    <w:rsid w:val="00316B3B"/>
    <w:rsid w:val="003260C0"/>
    <w:rsid w:val="00336C7B"/>
    <w:rsid w:val="003373C2"/>
    <w:rsid w:val="0037240A"/>
    <w:rsid w:val="0037441D"/>
    <w:rsid w:val="00382712"/>
    <w:rsid w:val="003B1913"/>
    <w:rsid w:val="003B364D"/>
    <w:rsid w:val="003D4625"/>
    <w:rsid w:val="003D7D91"/>
    <w:rsid w:val="003E2410"/>
    <w:rsid w:val="003F1C59"/>
    <w:rsid w:val="004127D9"/>
    <w:rsid w:val="00421192"/>
    <w:rsid w:val="004218E6"/>
    <w:rsid w:val="00423AE2"/>
    <w:rsid w:val="00433A45"/>
    <w:rsid w:val="0046338F"/>
    <w:rsid w:val="0046555E"/>
    <w:rsid w:val="00475F12"/>
    <w:rsid w:val="00496201"/>
    <w:rsid w:val="00497E97"/>
    <w:rsid w:val="004A31C7"/>
    <w:rsid w:val="004A3965"/>
    <w:rsid w:val="004A5B28"/>
    <w:rsid w:val="004C56F7"/>
    <w:rsid w:val="004D67BD"/>
    <w:rsid w:val="004E23A4"/>
    <w:rsid w:val="004F692D"/>
    <w:rsid w:val="004F6D96"/>
    <w:rsid w:val="00502BE9"/>
    <w:rsid w:val="00541D44"/>
    <w:rsid w:val="00547B95"/>
    <w:rsid w:val="00555E62"/>
    <w:rsid w:val="005771B1"/>
    <w:rsid w:val="005813D4"/>
    <w:rsid w:val="00584AB4"/>
    <w:rsid w:val="00586A58"/>
    <w:rsid w:val="005878D5"/>
    <w:rsid w:val="00591949"/>
    <w:rsid w:val="00593C11"/>
    <w:rsid w:val="005B3484"/>
    <w:rsid w:val="005B41C1"/>
    <w:rsid w:val="005B67DA"/>
    <w:rsid w:val="005D231B"/>
    <w:rsid w:val="005E212D"/>
    <w:rsid w:val="005E34F7"/>
    <w:rsid w:val="005F328E"/>
    <w:rsid w:val="005F4B6C"/>
    <w:rsid w:val="00610393"/>
    <w:rsid w:val="0062400F"/>
    <w:rsid w:val="006268FF"/>
    <w:rsid w:val="006372ED"/>
    <w:rsid w:val="006504AC"/>
    <w:rsid w:val="00652369"/>
    <w:rsid w:val="0066185B"/>
    <w:rsid w:val="00662AD9"/>
    <w:rsid w:val="006777C2"/>
    <w:rsid w:val="0069310C"/>
    <w:rsid w:val="0069535D"/>
    <w:rsid w:val="006A608E"/>
    <w:rsid w:val="006B0238"/>
    <w:rsid w:val="006C214A"/>
    <w:rsid w:val="006D51C6"/>
    <w:rsid w:val="006E788D"/>
    <w:rsid w:val="006F5254"/>
    <w:rsid w:val="00702A56"/>
    <w:rsid w:val="00713232"/>
    <w:rsid w:val="00734230"/>
    <w:rsid w:val="0075415A"/>
    <w:rsid w:val="00787E9D"/>
    <w:rsid w:val="00791AA6"/>
    <w:rsid w:val="0079568E"/>
    <w:rsid w:val="007A553F"/>
    <w:rsid w:val="007B1CD6"/>
    <w:rsid w:val="007B65C9"/>
    <w:rsid w:val="007B7D76"/>
    <w:rsid w:val="007C2357"/>
    <w:rsid w:val="007D7FC2"/>
    <w:rsid w:val="007E3FBF"/>
    <w:rsid w:val="007F25DB"/>
    <w:rsid w:val="00811342"/>
    <w:rsid w:val="00830C45"/>
    <w:rsid w:val="00846C43"/>
    <w:rsid w:val="00850F3A"/>
    <w:rsid w:val="00854903"/>
    <w:rsid w:val="00875DF1"/>
    <w:rsid w:val="00877F0E"/>
    <w:rsid w:val="008A2E54"/>
    <w:rsid w:val="008A64B4"/>
    <w:rsid w:val="008B566F"/>
    <w:rsid w:val="008B794E"/>
    <w:rsid w:val="008D704D"/>
    <w:rsid w:val="008F1049"/>
    <w:rsid w:val="008F3568"/>
    <w:rsid w:val="00910459"/>
    <w:rsid w:val="009122B8"/>
    <w:rsid w:val="00914B31"/>
    <w:rsid w:val="00915910"/>
    <w:rsid w:val="00934587"/>
    <w:rsid w:val="009358A9"/>
    <w:rsid w:val="0093642B"/>
    <w:rsid w:val="0093737B"/>
    <w:rsid w:val="00943711"/>
    <w:rsid w:val="00946E72"/>
    <w:rsid w:val="00952DF8"/>
    <w:rsid w:val="00955772"/>
    <w:rsid w:val="00967C44"/>
    <w:rsid w:val="00975446"/>
    <w:rsid w:val="00980489"/>
    <w:rsid w:val="00982AAD"/>
    <w:rsid w:val="0098335E"/>
    <w:rsid w:val="009B11EE"/>
    <w:rsid w:val="009B3EFB"/>
    <w:rsid w:val="009C3024"/>
    <w:rsid w:val="009D5DE2"/>
    <w:rsid w:val="009D6355"/>
    <w:rsid w:val="009E1EE0"/>
    <w:rsid w:val="009E3727"/>
    <w:rsid w:val="009F348C"/>
    <w:rsid w:val="009F745D"/>
    <w:rsid w:val="00A063D5"/>
    <w:rsid w:val="00A14E1C"/>
    <w:rsid w:val="00A152B9"/>
    <w:rsid w:val="00A160EE"/>
    <w:rsid w:val="00A17C49"/>
    <w:rsid w:val="00A23776"/>
    <w:rsid w:val="00A31E23"/>
    <w:rsid w:val="00A32DD7"/>
    <w:rsid w:val="00A33950"/>
    <w:rsid w:val="00A33D2E"/>
    <w:rsid w:val="00A504D6"/>
    <w:rsid w:val="00A531EA"/>
    <w:rsid w:val="00A72AD9"/>
    <w:rsid w:val="00A97CE4"/>
    <w:rsid w:val="00AB5862"/>
    <w:rsid w:val="00AC3675"/>
    <w:rsid w:val="00AD34B3"/>
    <w:rsid w:val="00AD4118"/>
    <w:rsid w:val="00AE00B8"/>
    <w:rsid w:val="00AE6FC7"/>
    <w:rsid w:val="00AF3424"/>
    <w:rsid w:val="00B22A8D"/>
    <w:rsid w:val="00B34F0D"/>
    <w:rsid w:val="00B6137C"/>
    <w:rsid w:val="00B65FB7"/>
    <w:rsid w:val="00B7169D"/>
    <w:rsid w:val="00B7470F"/>
    <w:rsid w:val="00B82C15"/>
    <w:rsid w:val="00B83F55"/>
    <w:rsid w:val="00B9716C"/>
    <w:rsid w:val="00BA6058"/>
    <w:rsid w:val="00BB13C0"/>
    <w:rsid w:val="00BB1567"/>
    <w:rsid w:val="00BB7549"/>
    <w:rsid w:val="00BC2220"/>
    <w:rsid w:val="00BF3596"/>
    <w:rsid w:val="00C05166"/>
    <w:rsid w:val="00C13395"/>
    <w:rsid w:val="00C22A54"/>
    <w:rsid w:val="00C23746"/>
    <w:rsid w:val="00C23F9D"/>
    <w:rsid w:val="00C3037F"/>
    <w:rsid w:val="00C31867"/>
    <w:rsid w:val="00C331DE"/>
    <w:rsid w:val="00C37DBB"/>
    <w:rsid w:val="00C4717B"/>
    <w:rsid w:val="00C477FA"/>
    <w:rsid w:val="00C62882"/>
    <w:rsid w:val="00C6723E"/>
    <w:rsid w:val="00C7528F"/>
    <w:rsid w:val="00C859AB"/>
    <w:rsid w:val="00C94638"/>
    <w:rsid w:val="00CA2ABB"/>
    <w:rsid w:val="00CA6510"/>
    <w:rsid w:val="00CC71F1"/>
    <w:rsid w:val="00CE019D"/>
    <w:rsid w:val="00CE188E"/>
    <w:rsid w:val="00CF11A0"/>
    <w:rsid w:val="00D07278"/>
    <w:rsid w:val="00D07562"/>
    <w:rsid w:val="00D107D4"/>
    <w:rsid w:val="00D11AD3"/>
    <w:rsid w:val="00D20433"/>
    <w:rsid w:val="00D360B7"/>
    <w:rsid w:val="00D371C5"/>
    <w:rsid w:val="00D52267"/>
    <w:rsid w:val="00D53F2F"/>
    <w:rsid w:val="00D548E5"/>
    <w:rsid w:val="00D54F75"/>
    <w:rsid w:val="00D55BBF"/>
    <w:rsid w:val="00D57A50"/>
    <w:rsid w:val="00D6739B"/>
    <w:rsid w:val="00D84121"/>
    <w:rsid w:val="00D879CB"/>
    <w:rsid w:val="00D9051A"/>
    <w:rsid w:val="00D94507"/>
    <w:rsid w:val="00D97FD9"/>
    <w:rsid w:val="00DA3501"/>
    <w:rsid w:val="00DA5851"/>
    <w:rsid w:val="00DB5D10"/>
    <w:rsid w:val="00DC2FBB"/>
    <w:rsid w:val="00DE037F"/>
    <w:rsid w:val="00DE2E75"/>
    <w:rsid w:val="00E06D16"/>
    <w:rsid w:val="00E219A0"/>
    <w:rsid w:val="00E47B34"/>
    <w:rsid w:val="00E54606"/>
    <w:rsid w:val="00E558CC"/>
    <w:rsid w:val="00E57041"/>
    <w:rsid w:val="00E60E2F"/>
    <w:rsid w:val="00E6139D"/>
    <w:rsid w:val="00E6376D"/>
    <w:rsid w:val="00E722F5"/>
    <w:rsid w:val="00E92675"/>
    <w:rsid w:val="00EA0D25"/>
    <w:rsid w:val="00EC287D"/>
    <w:rsid w:val="00EC2BCC"/>
    <w:rsid w:val="00ED1C1A"/>
    <w:rsid w:val="00ED3F12"/>
    <w:rsid w:val="00EE159D"/>
    <w:rsid w:val="00EE3EC9"/>
    <w:rsid w:val="00EF4A77"/>
    <w:rsid w:val="00F01BEC"/>
    <w:rsid w:val="00F05753"/>
    <w:rsid w:val="00F23D36"/>
    <w:rsid w:val="00F2519E"/>
    <w:rsid w:val="00F35B3E"/>
    <w:rsid w:val="00F56588"/>
    <w:rsid w:val="00F60EC9"/>
    <w:rsid w:val="00F640F2"/>
    <w:rsid w:val="00F75938"/>
    <w:rsid w:val="00F76B06"/>
    <w:rsid w:val="00F83559"/>
    <w:rsid w:val="00F848C7"/>
    <w:rsid w:val="00F933E2"/>
    <w:rsid w:val="00FA24CA"/>
    <w:rsid w:val="00FC2B5F"/>
    <w:rsid w:val="00FD09CB"/>
    <w:rsid w:val="00FD0B76"/>
    <w:rsid w:val="00FD0C37"/>
    <w:rsid w:val="00FD3FB5"/>
    <w:rsid w:val="00FE5ADA"/>
    <w:rsid w:val="00FE723A"/>
    <w:rsid w:val="00FF0349"/>
    <w:rsid w:val="00FF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A2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bidi="ar-SA"/>
    </w:rPr>
  </w:style>
  <w:style w:type="paragraph" w:styleId="ListParagraph">
    <w:name w:val="List Paragraph"/>
    <w:basedOn w:val="Normal"/>
    <w:uiPriority w:val="34"/>
    <w:qFormat/>
    <w:rsid w:val="00D371C5"/>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371C5"/>
    <w:rPr>
      <w:sz w:val="16"/>
      <w:szCs w:val="16"/>
    </w:rPr>
  </w:style>
  <w:style w:type="paragraph" w:styleId="CommentText">
    <w:name w:val="annotation text"/>
    <w:basedOn w:val="Normal"/>
    <w:link w:val="CommentTextChar"/>
    <w:uiPriority w:val="99"/>
    <w:unhideWhenUsed/>
    <w:rsid w:val="00D371C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371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371C5"/>
    <w:pPr>
      <w:spacing w:after="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D371C5"/>
    <w:rPr>
      <w:rFonts w:ascii="Arial" w:eastAsiaTheme="minorHAnsi" w:hAnsi="Arial" w:cs="Arial"/>
      <w:b/>
      <w:bCs/>
      <w:lang w:eastAsia="en-US"/>
    </w:rPr>
  </w:style>
  <w:style w:type="table" w:styleId="TableGrid">
    <w:name w:val="Table Grid"/>
    <w:basedOn w:val="TableNormal"/>
    <w:uiPriority w:val="59"/>
    <w:rsid w:val="00D1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107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EF4A7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bidi="ar-SA"/>
    </w:rPr>
  </w:style>
  <w:style w:type="paragraph" w:styleId="ListParagraph">
    <w:name w:val="List Paragraph"/>
    <w:basedOn w:val="Normal"/>
    <w:uiPriority w:val="34"/>
    <w:qFormat/>
    <w:rsid w:val="00D371C5"/>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371C5"/>
    <w:rPr>
      <w:sz w:val="16"/>
      <w:szCs w:val="16"/>
    </w:rPr>
  </w:style>
  <w:style w:type="paragraph" w:styleId="CommentText">
    <w:name w:val="annotation text"/>
    <w:basedOn w:val="Normal"/>
    <w:link w:val="CommentTextChar"/>
    <w:uiPriority w:val="99"/>
    <w:unhideWhenUsed/>
    <w:rsid w:val="00D371C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371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371C5"/>
    <w:pPr>
      <w:spacing w:after="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D371C5"/>
    <w:rPr>
      <w:rFonts w:ascii="Arial" w:eastAsiaTheme="minorHAnsi" w:hAnsi="Arial" w:cs="Arial"/>
      <w:b/>
      <w:bCs/>
      <w:lang w:eastAsia="en-US"/>
    </w:rPr>
  </w:style>
  <w:style w:type="table" w:styleId="TableGrid">
    <w:name w:val="Table Grid"/>
    <w:basedOn w:val="TableNormal"/>
    <w:uiPriority w:val="59"/>
    <w:rsid w:val="00D1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107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EF4A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coyle\Downloads\PHE-Plain-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7434-6CCB-4617-894C-91C9319C49D6}">
  <ds:schemaRefs>
    <ds:schemaRef ds:uri="http://www.w3.org/XML/1998/namespace"/>
    <ds:schemaRef ds:uri="http://schemas.microsoft.com/sharepoint/v3"/>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E71F199-4C2C-4810-B979-BBEED12C8FD0}">
  <ds:schemaRefs>
    <ds:schemaRef ds:uri="http://schemas.microsoft.com/sharepoint/v3/contenttype/forms"/>
  </ds:schemaRefs>
</ds:datastoreItem>
</file>

<file path=customXml/itemProps3.xml><?xml version="1.0" encoding="utf-8"?>
<ds:datastoreItem xmlns:ds="http://schemas.openxmlformats.org/officeDocument/2006/customXml" ds:itemID="{A7E30BF0-77EC-44D4-B2E4-A33C2D60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6D48E-EF9F-431D-815B-4E85C6C8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PHE-Plain-document-template.dotx</Template>
  <TotalTime>65</TotalTime>
  <Pages>3</Pages>
  <Words>707</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4498</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creator>Nicholas Coyle</dc:creator>
  <cp:lastModifiedBy>Natasha Roberts</cp:lastModifiedBy>
  <cp:revision>4</cp:revision>
  <cp:lastPrinted>2013-11-05T11:21:00Z</cp:lastPrinted>
  <dcterms:created xsi:type="dcterms:W3CDTF">2018-04-16T12:17:00Z</dcterms:created>
  <dcterms:modified xsi:type="dcterms:W3CDTF">2018-04-23T08:02:00Z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