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24" w:rsidRPr="006E2A07" w:rsidRDefault="007A3024" w:rsidP="007A3024">
      <w:pPr>
        <w:pStyle w:val="NoSpacing"/>
        <w:rPr>
          <w:rFonts w:cs="Arial"/>
          <w:b/>
          <w:sz w:val="32"/>
          <w:szCs w:val="32"/>
        </w:rPr>
      </w:pPr>
      <w:r>
        <w:rPr>
          <w:rFonts w:cs="Arial"/>
          <w:b/>
          <w:sz w:val="32"/>
          <w:szCs w:val="32"/>
        </w:rPr>
        <w:t>Public Health Dashboard</w:t>
      </w:r>
      <w:r w:rsidRPr="006E2A07">
        <w:rPr>
          <w:rFonts w:cs="Arial"/>
          <w:b/>
          <w:sz w:val="32"/>
          <w:szCs w:val="32"/>
        </w:rPr>
        <w:t xml:space="preserve"> </w:t>
      </w:r>
      <w:r>
        <w:rPr>
          <w:rFonts w:cs="Arial"/>
          <w:b/>
          <w:sz w:val="32"/>
          <w:szCs w:val="32"/>
        </w:rPr>
        <w:t>Indicators</w:t>
      </w:r>
    </w:p>
    <w:p w:rsidR="007A3024" w:rsidRDefault="007A3024" w:rsidP="007A3024">
      <w:pPr>
        <w:pStyle w:val="NoSpacing"/>
        <w:rPr>
          <w:rFonts w:cs="Arial"/>
          <w:b/>
          <w:color w:val="98002E"/>
          <w:sz w:val="28"/>
          <w:szCs w:val="28"/>
        </w:rPr>
      </w:pPr>
    </w:p>
    <w:p w:rsidR="007A3024" w:rsidRDefault="007A3024" w:rsidP="007A3024">
      <w:pPr>
        <w:pStyle w:val="NoSpacing"/>
        <w:rPr>
          <w:rFonts w:cs="Arial"/>
          <w:b/>
          <w:color w:val="98002E"/>
          <w:sz w:val="28"/>
          <w:szCs w:val="28"/>
        </w:rPr>
      </w:pPr>
      <w:r w:rsidRPr="005066C2">
        <w:rPr>
          <w:rFonts w:cs="Arial"/>
          <w:b/>
          <w:color w:val="98002E"/>
          <w:sz w:val="28"/>
          <w:szCs w:val="28"/>
        </w:rPr>
        <w:t>Best possible start in life</w:t>
      </w:r>
    </w:p>
    <w:p w:rsidR="007A3024" w:rsidRPr="007A3024" w:rsidRDefault="007A3024" w:rsidP="007A3024">
      <w:pPr>
        <w:pStyle w:val="NoSpacing"/>
        <w:rPr>
          <w:rFonts w:cs="Arial"/>
          <w:b/>
          <w:color w:val="943634"/>
          <w:sz w:val="16"/>
          <w:szCs w:val="16"/>
        </w:rPr>
      </w:pPr>
    </w:p>
    <w:tbl>
      <w:tblPr>
        <w:tblStyle w:val="TableGrid"/>
        <w:tblW w:w="0" w:type="auto"/>
        <w:shd w:val="clear" w:color="auto" w:fill="FFFFFF"/>
        <w:tblLook w:val="04A0" w:firstRow="1" w:lastRow="0" w:firstColumn="1" w:lastColumn="0" w:noHBand="0" w:noVBand="1"/>
      </w:tblPr>
      <w:tblGrid>
        <w:gridCol w:w="3652"/>
        <w:gridCol w:w="6428"/>
      </w:tblGrid>
      <w:tr w:rsidR="007A3024" w:rsidRPr="00DA5A5C" w:rsidTr="009D1B0F">
        <w:tc>
          <w:tcPr>
            <w:tcW w:w="3652"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Pr>
                <w:rFonts w:ascii="Arial" w:hAnsi="Arial" w:cs="Arial"/>
                <w:b/>
                <w:sz w:val="24"/>
                <w:szCs w:val="24"/>
              </w:rPr>
              <w:t>Indicator</w:t>
            </w:r>
            <w:r w:rsidRPr="005E72D0">
              <w:rPr>
                <w:rFonts w:ascii="Arial" w:hAnsi="Arial" w:cs="Arial"/>
                <w:b/>
                <w:sz w:val="24"/>
                <w:szCs w:val="24"/>
              </w:rPr>
              <w:t>s</w:t>
            </w:r>
          </w:p>
        </w:tc>
        <w:tc>
          <w:tcPr>
            <w:tcW w:w="6428"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sidRPr="005E72D0">
              <w:rPr>
                <w:rFonts w:ascii="Arial" w:hAnsi="Arial" w:cs="Arial"/>
                <w:b/>
                <w:sz w:val="24"/>
                <w:szCs w:val="24"/>
              </w:rPr>
              <w:t>Rationale</w:t>
            </w:r>
          </w:p>
        </w:tc>
      </w:tr>
      <w:tr w:rsidR="007A3024" w:rsidRPr="00DA5A5C" w:rsidTr="009D1B0F">
        <w:tc>
          <w:tcPr>
            <w:tcW w:w="3652" w:type="dxa"/>
            <w:shd w:val="clear" w:color="auto" w:fill="FFFFFF"/>
          </w:tcPr>
          <w:p w:rsidR="007A3024" w:rsidRPr="00C86070" w:rsidRDefault="007A3024" w:rsidP="00F41D4B">
            <w:pPr>
              <w:rPr>
                <w:rFonts w:ascii="Arial" w:hAnsi="Arial" w:cs="Arial"/>
                <w:b/>
              </w:rPr>
            </w:pPr>
            <w:r>
              <w:rPr>
                <w:rFonts w:ascii="Arial" w:hAnsi="Arial" w:cs="Arial"/>
                <w:b/>
              </w:rPr>
              <w:t>Proportion of completed new birth visits (%)</w:t>
            </w:r>
            <w:r w:rsidRPr="005A6865">
              <w:rPr>
                <w:rFonts w:ascii="Arial" w:hAnsi="Arial" w:cs="Arial"/>
                <w:b/>
              </w:rPr>
              <w:t xml:space="preserve">  </w:t>
            </w:r>
            <w:r>
              <w:rPr>
                <w:rFonts w:ascii="Arial" w:hAnsi="Arial" w:cs="Arial"/>
              </w:rPr>
              <w:t>– % completeness of the second of five mandated health reviews</w:t>
            </w:r>
          </w:p>
          <w:p w:rsidR="007A3024" w:rsidRPr="00C86070" w:rsidRDefault="007A3024" w:rsidP="00F41D4B">
            <w:pPr>
              <w:rPr>
                <w:rFonts w:ascii="Arial" w:hAnsi="Arial" w:cs="Arial"/>
                <w:b/>
              </w:rPr>
            </w:pPr>
          </w:p>
        </w:tc>
        <w:tc>
          <w:tcPr>
            <w:tcW w:w="6428" w:type="dxa"/>
            <w:shd w:val="clear" w:color="auto" w:fill="FFFFFF"/>
          </w:tcPr>
          <w:p w:rsidR="007A3024" w:rsidRDefault="007A3024" w:rsidP="00F41D4B">
            <w:pPr>
              <w:rPr>
                <w:rFonts w:ascii="Arial" w:hAnsi="Arial" w:cs="Arial"/>
              </w:rPr>
            </w:pPr>
            <w:r>
              <w:rPr>
                <w:rFonts w:ascii="Arial" w:hAnsi="Arial" w:cs="Arial"/>
              </w:rPr>
              <w:t xml:space="preserve">Local Authorities are mandated to provide 5 health reviews as part of </w:t>
            </w:r>
            <w:r w:rsidRPr="006E7A2F">
              <w:rPr>
                <w:rFonts w:ascii="Arial" w:hAnsi="Arial" w:cs="Arial"/>
              </w:rPr>
              <w:t>a universal health visiting service</w:t>
            </w:r>
            <w:r>
              <w:rPr>
                <w:rFonts w:ascii="Arial" w:hAnsi="Arial" w:cs="Arial"/>
              </w:rPr>
              <w:t xml:space="preserve">. These are scheduled antenatal visit, new birth visit, 6-8 week review, 1 year review and 2-21/2 years review. It is the responsibility of the LA to ensure that the pregnant women, infants and children who are eligible for this service can benefit from it. </w:t>
            </w:r>
          </w:p>
          <w:p w:rsidR="007A3024" w:rsidRPr="00DA5A5C" w:rsidRDefault="007A3024" w:rsidP="00F41D4B">
            <w:pPr>
              <w:rPr>
                <w:rFonts w:ascii="Arial" w:hAnsi="Arial" w:cs="Arial"/>
              </w:rPr>
            </w:pPr>
            <w:r>
              <w:rPr>
                <w:rFonts w:ascii="Arial" w:hAnsi="Arial" w:cs="Arial"/>
              </w:rPr>
              <w:t>This indicator acts as proxy for the delivery of</w:t>
            </w:r>
            <w:r w:rsidRPr="005A6865">
              <w:rPr>
                <w:rFonts w:ascii="Arial" w:hAnsi="Arial" w:cs="Arial"/>
              </w:rPr>
              <w:t xml:space="preserve"> the mandated elements </w:t>
            </w:r>
            <w:r>
              <w:rPr>
                <w:rFonts w:ascii="Arial" w:hAnsi="Arial" w:cs="Arial"/>
              </w:rPr>
              <w:t xml:space="preserve">of the service </w:t>
            </w:r>
            <w:r w:rsidRPr="005A6865">
              <w:rPr>
                <w:rFonts w:ascii="Arial" w:hAnsi="Arial" w:cs="Arial"/>
              </w:rPr>
              <w:t>to ensure all families receive support on becoming parents</w:t>
            </w:r>
            <w:r>
              <w:rPr>
                <w:rFonts w:ascii="Arial" w:hAnsi="Arial" w:cs="Arial"/>
              </w:rPr>
              <w:t>,</w:t>
            </w:r>
            <w:r w:rsidR="00461873">
              <w:rPr>
                <w:rFonts w:ascii="Arial" w:hAnsi="Arial" w:cs="Arial"/>
              </w:rPr>
              <w:t xml:space="preserve"> and families are identifi</w:t>
            </w:r>
            <w:r w:rsidRPr="005A6865">
              <w:rPr>
                <w:rFonts w:ascii="Arial" w:hAnsi="Arial" w:cs="Arial"/>
              </w:rPr>
              <w:t>ed early where extra help is needed</w:t>
            </w:r>
            <w:r>
              <w:rPr>
                <w:rFonts w:ascii="Arial" w:hAnsi="Arial" w:cs="Arial"/>
              </w:rPr>
              <w:t>.</w:t>
            </w:r>
          </w:p>
        </w:tc>
      </w:tr>
      <w:tr w:rsidR="007A3024" w:rsidRPr="00DA5A5C" w:rsidTr="009D1B0F">
        <w:tc>
          <w:tcPr>
            <w:tcW w:w="3652" w:type="dxa"/>
            <w:tcBorders>
              <w:bottom w:val="single" w:sz="4" w:space="0" w:color="auto"/>
            </w:tcBorders>
            <w:shd w:val="clear" w:color="auto" w:fill="FFFFFF"/>
          </w:tcPr>
          <w:p w:rsidR="007A3024" w:rsidRDefault="007A3024" w:rsidP="00F41D4B">
            <w:pPr>
              <w:rPr>
                <w:rFonts w:ascii="Arial" w:hAnsi="Arial" w:cs="Arial"/>
              </w:rPr>
            </w:pPr>
            <w:r w:rsidRPr="004A1558">
              <w:rPr>
                <w:rFonts w:ascii="Arial" w:hAnsi="Arial" w:cs="Arial"/>
                <w:b/>
              </w:rPr>
              <w:t>Proportion of children ready for school (%), aged 5</w:t>
            </w:r>
            <w:r>
              <w:rPr>
                <w:rFonts w:ascii="Arial" w:hAnsi="Arial" w:cs="Arial"/>
                <w:b/>
              </w:rPr>
              <w:t xml:space="preserve"> </w:t>
            </w:r>
            <w:r>
              <w:rPr>
                <w:rFonts w:ascii="Arial" w:hAnsi="Arial" w:cs="Arial"/>
              </w:rPr>
              <w:t xml:space="preserve">– Proportion of children </w:t>
            </w:r>
            <w:r w:rsidRPr="000E5902">
              <w:rPr>
                <w:rFonts w:ascii="Arial" w:hAnsi="Arial" w:cs="Arial"/>
              </w:rPr>
              <w:t>achieving a good level of development at the end of reception</w:t>
            </w:r>
          </w:p>
        </w:tc>
        <w:tc>
          <w:tcPr>
            <w:tcW w:w="6428" w:type="dxa"/>
            <w:tcBorders>
              <w:bottom w:val="single" w:sz="4" w:space="0" w:color="auto"/>
            </w:tcBorders>
            <w:shd w:val="clear" w:color="auto" w:fill="FFFFFF"/>
          </w:tcPr>
          <w:p w:rsidR="007A3024" w:rsidRPr="00461873" w:rsidRDefault="007A3024" w:rsidP="00F41D4B">
            <w:pPr>
              <w:rPr>
                <w:rFonts w:ascii="Arial" w:hAnsi="Arial" w:cs="Arial"/>
                <w:shd w:val="clear" w:color="auto" w:fill="FFFFFF"/>
              </w:rPr>
            </w:pPr>
            <w:r>
              <w:rPr>
                <w:rFonts w:ascii="Arial" w:hAnsi="Arial" w:cs="Arial"/>
                <w:shd w:val="clear" w:color="auto" w:fill="FFFFFF"/>
              </w:rPr>
              <w:t>Local Authorities are responsible for children’s public health (0–5 years) and for improving the health and wellbeing of this population. School readiness is a key outcome measure for the effectiveness of services responsible for identifying where extra help is needed and ensuring early intervention.</w:t>
            </w:r>
          </w:p>
          <w:p w:rsidR="007A3024" w:rsidRPr="00461873" w:rsidRDefault="007A3024" w:rsidP="00F41D4B">
            <w:pPr>
              <w:rPr>
                <w:rFonts w:ascii="Arial" w:hAnsi="Arial" w:cs="Arial"/>
                <w:shd w:val="clear" w:color="auto" w:fill="FFFFFF"/>
              </w:rPr>
            </w:pPr>
            <w:r w:rsidRPr="00837BD6">
              <w:rPr>
                <w:rFonts w:ascii="Arial" w:hAnsi="Arial" w:cs="Arial"/>
                <w:shd w:val="clear" w:color="auto" w:fill="FFFFFF"/>
              </w:rPr>
              <w:t xml:space="preserve">Children from </w:t>
            </w:r>
            <w:r>
              <w:rPr>
                <w:rFonts w:ascii="Arial" w:hAnsi="Arial" w:cs="Arial"/>
                <w:shd w:val="clear" w:color="auto" w:fill="FFFFFF"/>
              </w:rPr>
              <w:t xml:space="preserve">more deprived </w:t>
            </w:r>
            <w:r w:rsidRPr="00837BD6">
              <w:rPr>
                <w:rFonts w:ascii="Arial" w:hAnsi="Arial" w:cs="Arial"/>
                <w:shd w:val="clear" w:color="auto" w:fill="FFFFFF"/>
              </w:rPr>
              <w:t xml:space="preserve">backgrounds are more at risk of poorer development </w:t>
            </w:r>
            <w:r>
              <w:rPr>
                <w:rFonts w:ascii="Arial" w:hAnsi="Arial" w:cs="Arial"/>
                <w:shd w:val="clear" w:color="auto" w:fill="FFFFFF"/>
              </w:rPr>
              <w:t xml:space="preserve">outcomes </w:t>
            </w:r>
            <w:r w:rsidRPr="00837BD6">
              <w:rPr>
                <w:rFonts w:ascii="Arial" w:hAnsi="Arial" w:cs="Arial"/>
                <w:shd w:val="clear" w:color="auto" w:fill="FFFFFF"/>
              </w:rPr>
              <w:t>and the evidence shows t</w:t>
            </w:r>
            <w:r w:rsidR="00461873">
              <w:rPr>
                <w:rFonts w:ascii="Arial" w:hAnsi="Arial" w:cs="Arial"/>
                <w:shd w:val="clear" w:color="auto" w:fill="FFFFFF"/>
              </w:rPr>
              <w:t>hat</w:t>
            </w:r>
            <w:r w:rsidRPr="00837BD6">
              <w:rPr>
                <w:rFonts w:ascii="Arial" w:hAnsi="Arial" w:cs="Arial"/>
                <w:shd w:val="clear" w:color="auto" w:fill="FFFFFF"/>
              </w:rPr>
              <w:t xml:space="preserve"> differences by social background emerge early in life.</w:t>
            </w:r>
            <w:r>
              <w:rPr>
                <w:rFonts w:ascii="Arial" w:hAnsi="Arial" w:cs="Arial"/>
                <w:shd w:val="clear" w:color="auto" w:fill="FFFFFF"/>
              </w:rPr>
              <w:t xml:space="preserve"> </w:t>
            </w:r>
          </w:p>
        </w:tc>
      </w:tr>
      <w:tr w:rsidR="007A3024" w:rsidRPr="00DA5A5C" w:rsidTr="009D1B0F">
        <w:tc>
          <w:tcPr>
            <w:tcW w:w="3652" w:type="dxa"/>
            <w:shd w:val="clear" w:color="auto" w:fill="auto"/>
          </w:tcPr>
          <w:p w:rsidR="007A3024" w:rsidRDefault="007A3024" w:rsidP="00F41D4B">
            <w:pPr>
              <w:rPr>
                <w:rFonts w:ascii="Arial" w:hAnsi="Arial" w:cs="Arial"/>
              </w:rPr>
            </w:pPr>
            <w:r w:rsidRPr="004A1558">
              <w:rPr>
                <w:rFonts w:ascii="Arial" w:hAnsi="Arial" w:cs="Arial"/>
                <w:b/>
              </w:rPr>
              <w:t>Breastfeeding prevalence (%), at 6-8 Weeks</w:t>
            </w:r>
            <w:r w:rsidR="009D1B0F">
              <w:rPr>
                <w:rFonts w:ascii="Arial" w:hAnsi="Arial" w:cs="Arial"/>
                <w:b/>
              </w:rPr>
              <w:t xml:space="preserve"> </w:t>
            </w:r>
            <w:r>
              <w:rPr>
                <w:rFonts w:ascii="Arial" w:hAnsi="Arial" w:cs="Arial"/>
              </w:rPr>
              <w:t xml:space="preserve">– </w:t>
            </w:r>
            <w:r w:rsidRPr="005066C2">
              <w:rPr>
                <w:rFonts w:ascii="Arial" w:hAnsi="Arial" w:cs="Arial"/>
              </w:rPr>
              <w:t xml:space="preserve">% of all infants due a 6-8 week </w:t>
            </w:r>
            <w:r>
              <w:rPr>
                <w:rFonts w:ascii="Arial" w:hAnsi="Arial" w:cs="Arial"/>
              </w:rPr>
              <w:t>health review</w:t>
            </w:r>
            <w:r w:rsidRPr="005066C2">
              <w:rPr>
                <w:rFonts w:ascii="Arial" w:hAnsi="Arial" w:cs="Arial"/>
              </w:rPr>
              <w:t xml:space="preserve"> that are totally or partially breastfed</w:t>
            </w:r>
          </w:p>
          <w:p w:rsidR="007A3024" w:rsidRDefault="007A3024" w:rsidP="00F41D4B">
            <w:pPr>
              <w:rPr>
                <w:rFonts w:ascii="Arial" w:hAnsi="Arial" w:cs="Arial"/>
                <w:sz w:val="16"/>
                <w:szCs w:val="16"/>
              </w:rPr>
            </w:pPr>
          </w:p>
          <w:p w:rsidR="007A3024" w:rsidRDefault="007A3024" w:rsidP="00F41D4B">
            <w:pPr>
              <w:rPr>
                <w:rFonts w:ascii="Arial" w:hAnsi="Arial" w:cs="Arial"/>
                <w:sz w:val="16"/>
                <w:szCs w:val="16"/>
              </w:rPr>
            </w:pPr>
          </w:p>
          <w:p w:rsidR="007A3024" w:rsidRPr="007D1297" w:rsidRDefault="007A3024" w:rsidP="00F41D4B">
            <w:pPr>
              <w:rPr>
                <w:rFonts w:ascii="Arial" w:hAnsi="Arial" w:cs="Arial"/>
                <w:sz w:val="16"/>
                <w:szCs w:val="16"/>
              </w:rPr>
            </w:pPr>
          </w:p>
        </w:tc>
        <w:tc>
          <w:tcPr>
            <w:tcW w:w="6428" w:type="dxa"/>
            <w:shd w:val="clear" w:color="auto" w:fill="auto"/>
          </w:tcPr>
          <w:p w:rsidR="007A3024" w:rsidRDefault="007A3024" w:rsidP="00F41D4B">
            <w:pPr>
              <w:rPr>
                <w:rFonts w:ascii="Arial" w:hAnsi="Arial" w:cs="Arial"/>
              </w:rPr>
            </w:pPr>
            <w:r>
              <w:rPr>
                <w:rFonts w:ascii="Arial" w:hAnsi="Arial" w:cs="Arial"/>
              </w:rPr>
              <w:t xml:space="preserve">Local authorities are responsible for delivery of the universal health visiting service. Health visitors and their teams have a key role in promoting the health benefits of breastfeeding and </w:t>
            </w:r>
            <w:r w:rsidRPr="007E29E1">
              <w:rPr>
                <w:rFonts w:ascii="Arial" w:hAnsi="Arial" w:cs="Arial"/>
              </w:rPr>
              <w:t>encourag</w:t>
            </w:r>
            <w:r>
              <w:rPr>
                <w:rFonts w:ascii="Arial" w:hAnsi="Arial" w:cs="Arial"/>
              </w:rPr>
              <w:t>ing</w:t>
            </w:r>
            <w:r w:rsidRPr="007E29E1">
              <w:rPr>
                <w:rFonts w:ascii="Arial" w:hAnsi="Arial" w:cs="Arial"/>
              </w:rPr>
              <w:t xml:space="preserve"> the continued prioritisation of breastfeeding support locally.</w:t>
            </w:r>
          </w:p>
          <w:p w:rsidR="007A3024" w:rsidRPr="00DA5A5C" w:rsidRDefault="007A3024" w:rsidP="00F41D4B">
            <w:pPr>
              <w:rPr>
                <w:rFonts w:ascii="Arial" w:hAnsi="Arial" w:cs="Arial"/>
              </w:rPr>
            </w:pPr>
            <w:r>
              <w:rPr>
                <w:rFonts w:ascii="Arial" w:hAnsi="Arial" w:cs="Arial"/>
              </w:rPr>
              <w:t>Breastfeeding prevalence is monitored at the 6-8 weeks health review as a key outcome. Evidence shows that i</w:t>
            </w:r>
            <w:r w:rsidRPr="007E29E1">
              <w:rPr>
                <w:rFonts w:ascii="Arial" w:hAnsi="Arial" w:cs="Arial"/>
              </w:rPr>
              <w:t xml:space="preserve">ncreases in breastfeeding </w:t>
            </w:r>
            <w:r>
              <w:rPr>
                <w:rFonts w:ascii="Arial" w:hAnsi="Arial" w:cs="Arial"/>
              </w:rPr>
              <w:t xml:space="preserve">rates and duration have </w:t>
            </w:r>
            <w:r w:rsidRPr="007E29E1">
              <w:rPr>
                <w:rFonts w:ascii="Arial" w:hAnsi="Arial" w:cs="Arial"/>
              </w:rPr>
              <w:t>health benefit</w:t>
            </w:r>
            <w:r>
              <w:rPr>
                <w:rFonts w:ascii="Arial" w:hAnsi="Arial" w:cs="Arial"/>
              </w:rPr>
              <w:t xml:space="preserve">s for the infant and the mother. </w:t>
            </w:r>
          </w:p>
        </w:tc>
      </w:tr>
      <w:tr w:rsidR="007A3024" w:rsidRPr="00DA5A5C" w:rsidTr="009D1B0F">
        <w:tc>
          <w:tcPr>
            <w:tcW w:w="3652" w:type="dxa"/>
            <w:shd w:val="clear" w:color="auto" w:fill="auto"/>
          </w:tcPr>
          <w:p w:rsidR="007A3024" w:rsidRPr="003718C1" w:rsidRDefault="007A3024" w:rsidP="001124F3">
            <w:pPr>
              <w:rPr>
                <w:rFonts w:ascii="Arial" w:hAnsi="Arial" w:cs="Arial"/>
                <w:b/>
              </w:rPr>
            </w:pPr>
            <w:r w:rsidRPr="004A1558">
              <w:rPr>
                <w:rFonts w:ascii="Arial" w:hAnsi="Arial" w:cs="Arial"/>
                <w:b/>
              </w:rPr>
              <w:t xml:space="preserve">Proportion of children </w:t>
            </w:r>
            <w:r w:rsidR="001124F3">
              <w:rPr>
                <w:rFonts w:ascii="Arial" w:hAnsi="Arial" w:cs="Arial"/>
                <w:b/>
              </w:rPr>
              <w:t>who received</w:t>
            </w:r>
            <w:bookmarkStart w:id="0" w:name="_GoBack"/>
            <w:bookmarkEnd w:id="0"/>
            <w:r w:rsidRPr="004A1558">
              <w:rPr>
                <w:rFonts w:ascii="Arial" w:hAnsi="Arial" w:cs="Arial"/>
                <w:b/>
              </w:rPr>
              <w:t xml:space="preserve"> ASQ-3 (%), aged 2-2½</w:t>
            </w:r>
            <w:r>
              <w:rPr>
                <w:rFonts w:ascii="Arial" w:hAnsi="Arial" w:cs="Arial"/>
                <w:b/>
              </w:rPr>
              <w:t xml:space="preserve"> </w:t>
            </w:r>
            <w:r w:rsidRPr="005A6865">
              <w:rPr>
                <w:rFonts w:ascii="Arial" w:hAnsi="Arial" w:cs="Arial"/>
              </w:rPr>
              <w:t xml:space="preserve">- Proportion of children aged 2-2½yrs </w:t>
            </w:r>
            <w:r>
              <w:rPr>
                <w:rFonts w:ascii="Arial" w:hAnsi="Arial" w:cs="Arial"/>
              </w:rPr>
              <w:t xml:space="preserve"> who were assessed using</w:t>
            </w:r>
            <w:r w:rsidRPr="005A6865">
              <w:rPr>
                <w:rFonts w:ascii="Arial" w:hAnsi="Arial" w:cs="Arial"/>
              </w:rPr>
              <w:t xml:space="preserve"> ASQ-3 as part of the</w:t>
            </w:r>
            <w:r>
              <w:rPr>
                <w:rFonts w:ascii="Arial" w:hAnsi="Arial" w:cs="Arial"/>
              </w:rPr>
              <w:t xml:space="preserve">ir mandated </w:t>
            </w:r>
            <w:r>
              <w:rPr>
                <w:rFonts w:ascii="Arial" w:hAnsi="Arial" w:cs="Arial"/>
              </w:rPr>
              <w:lastRenderedPageBreak/>
              <w:t xml:space="preserve">health review at 2 - </w:t>
            </w:r>
            <w:r w:rsidRPr="005A6865">
              <w:rPr>
                <w:rFonts w:ascii="Arial" w:hAnsi="Arial" w:cs="Arial"/>
              </w:rPr>
              <w:t>2½yrs or integrated review</w:t>
            </w:r>
          </w:p>
        </w:tc>
        <w:tc>
          <w:tcPr>
            <w:tcW w:w="6428" w:type="dxa"/>
            <w:shd w:val="clear" w:color="auto" w:fill="auto"/>
          </w:tcPr>
          <w:p w:rsidR="007A3024" w:rsidRDefault="007A3024" w:rsidP="00F41D4B">
            <w:pPr>
              <w:rPr>
                <w:rFonts w:ascii="Arial" w:hAnsi="Arial" w:cs="Arial"/>
              </w:rPr>
            </w:pPr>
            <w:r>
              <w:rPr>
                <w:rFonts w:ascii="Arial" w:hAnsi="Arial" w:cs="Arial"/>
              </w:rPr>
              <w:lastRenderedPageBreak/>
              <w:t>Local Authorities are responsible for delivery of the universal health visiting service. A key component of this is the universal review at 2 2</w:t>
            </w:r>
            <w:r w:rsidRPr="007B43B1">
              <w:rPr>
                <w:rFonts w:ascii="Arial" w:hAnsi="Arial" w:cs="Arial"/>
                <w:vertAlign w:val="superscript"/>
              </w:rPr>
              <w:t>1</w:t>
            </w:r>
            <w:r>
              <w:rPr>
                <w:rFonts w:ascii="Arial" w:hAnsi="Arial" w:cs="Arial"/>
              </w:rPr>
              <w:t>/</w:t>
            </w:r>
            <w:r w:rsidRPr="007B43B1">
              <w:rPr>
                <w:rFonts w:ascii="Arial" w:hAnsi="Arial" w:cs="Arial"/>
                <w:vertAlign w:val="subscript"/>
              </w:rPr>
              <w:t>2</w:t>
            </w:r>
            <w:r>
              <w:rPr>
                <w:rFonts w:ascii="Arial" w:hAnsi="Arial" w:cs="Arial"/>
              </w:rPr>
              <w:t xml:space="preserve"> years where the development outcomes for all children are assessed using the Ages and Stages Questionnaire.</w:t>
            </w:r>
            <w:r w:rsidRPr="005A6865">
              <w:rPr>
                <w:rFonts w:ascii="Arial" w:hAnsi="Arial" w:cs="Arial"/>
              </w:rPr>
              <w:t xml:space="preserve"> </w:t>
            </w:r>
          </w:p>
          <w:p w:rsidR="007A3024" w:rsidRDefault="007A3024" w:rsidP="00F41D4B">
            <w:pPr>
              <w:rPr>
                <w:rFonts w:ascii="Arial" w:hAnsi="Arial" w:cs="Arial"/>
              </w:rPr>
            </w:pPr>
            <w:r>
              <w:rPr>
                <w:rFonts w:ascii="Arial" w:hAnsi="Arial" w:cs="Arial"/>
              </w:rPr>
              <w:lastRenderedPageBreak/>
              <w:t xml:space="preserve">Dimensions of development include communication, gross motor, fine motor, problem solving and social &amp; emotional skills. A good level of development at this age is critical for health and wellbeing outcomes but also for accessing pre-school and later educational opportunities. </w:t>
            </w:r>
          </w:p>
          <w:p w:rsidR="007A3024" w:rsidRPr="003718C1" w:rsidRDefault="007A3024" w:rsidP="00F41D4B">
            <w:pPr>
              <w:rPr>
                <w:rFonts w:ascii="Arial" w:hAnsi="Arial" w:cs="Arial"/>
              </w:rPr>
            </w:pPr>
            <w:r w:rsidRPr="005A6865">
              <w:rPr>
                <w:rFonts w:ascii="Arial" w:hAnsi="Arial" w:cs="Arial"/>
              </w:rPr>
              <w:t>Th</w:t>
            </w:r>
            <w:r>
              <w:rPr>
                <w:rFonts w:ascii="Arial" w:hAnsi="Arial" w:cs="Arial"/>
              </w:rPr>
              <w:t>is</w:t>
            </w:r>
            <w:r w:rsidRPr="005A6865">
              <w:rPr>
                <w:rFonts w:ascii="Arial" w:hAnsi="Arial" w:cs="Arial"/>
              </w:rPr>
              <w:t xml:space="preserve"> indicator will help to build a picture of child development at age 2-2½ at national and local level. It will support local areas in assessing the effectiveness and impact of services for 0-2 year olds and with planning services for children age 2 and beyond.</w:t>
            </w:r>
          </w:p>
        </w:tc>
      </w:tr>
    </w:tbl>
    <w:p w:rsidR="007A3024" w:rsidRDefault="007A3024" w:rsidP="007A3024">
      <w:pPr>
        <w:rPr>
          <w:rFonts w:ascii="Arial" w:hAnsi="Arial" w:cs="Arial"/>
          <w:b/>
          <w:color w:val="98002E"/>
          <w:sz w:val="28"/>
          <w:szCs w:val="28"/>
        </w:rPr>
      </w:pPr>
    </w:p>
    <w:p w:rsidR="007A3024" w:rsidRDefault="007A3024" w:rsidP="007A3024">
      <w:pPr>
        <w:rPr>
          <w:rFonts w:ascii="Arial" w:hAnsi="Arial" w:cs="Arial"/>
          <w:b/>
          <w:color w:val="98002E"/>
          <w:sz w:val="28"/>
          <w:szCs w:val="28"/>
        </w:rPr>
      </w:pPr>
      <w:r w:rsidRPr="00DA5A5C">
        <w:rPr>
          <w:rFonts w:ascii="Arial" w:hAnsi="Arial" w:cs="Arial"/>
          <w:b/>
          <w:color w:val="98002E"/>
          <w:sz w:val="28"/>
          <w:szCs w:val="28"/>
        </w:rPr>
        <w:t xml:space="preserve">Child </w:t>
      </w:r>
      <w:r>
        <w:rPr>
          <w:rFonts w:ascii="Arial" w:hAnsi="Arial" w:cs="Arial"/>
          <w:b/>
          <w:color w:val="98002E"/>
          <w:sz w:val="28"/>
          <w:szCs w:val="28"/>
        </w:rPr>
        <w:t>o</w:t>
      </w:r>
      <w:r w:rsidRPr="00DA5A5C">
        <w:rPr>
          <w:rFonts w:ascii="Arial" w:hAnsi="Arial" w:cs="Arial"/>
          <w:b/>
          <w:color w:val="98002E"/>
          <w:sz w:val="28"/>
          <w:szCs w:val="28"/>
        </w:rPr>
        <w:t>besity</w:t>
      </w:r>
      <w:r>
        <w:rPr>
          <w:rFonts w:ascii="Arial" w:hAnsi="Arial" w:cs="Arial"/>
          <w:b/>
          <w:color w:val="98002E"/>
          <w:sz w:val="28"/>
          <w:szCs w:val="28"/>
        </w:rPr>
        <w:t xml:space="preserve"> </w:t>
      </w:r>
    </w:p>
    <w:tbl>
      <w:tblPr>
        <w:tblStyle w:val="TableGrid"/>
        <w:tblW w:w="0" w:type="auto"/>
        <w:tblLook w:val="04A0" w:firstRow="1" w:lastRow="0" w:firstColumn="1" w:lastColumn="0" w:noHBand="0" w:noVBand="1"/>
      </w:tblPr>
      <w:tblGrid>
        <w:gridCol w:w="3652"/>
        <w:gridCol w:w="6428"/>
      </w:tblGrid>
      <w:tr w:rsidR="007A3024" w:rsidRPr="00DA5A5C" w:rsidTr="009D1B0F">
        <w:tc>
          <w:tcPr>
            <w:tcW w:w="3652"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Pr>
                <w:rFonts w:ascii="Arial" w:hAnsi="Arial" w:cs="Arial"/>
                <w:b/>
                <w:sz w:val="24"/>
                <w:szCs w:val="24"/>
              </w:rPr>
              <w:t>Indicator</w:t>
            </w:r>
            <w:r w:rsidRPr="005E72D0">
              <w:rPr>
                <w:rFonts w:ascii="Arial" w:hAnsi="Arial" w:cs="Arial"/>
                <w:b/>
                <w:sz w:val="24"/>
                <w:szCs w:val="24"/>
              </w:rPr>
              <w:t>s</w:t>
            </w:r>
          </w:p>
        </w:tc>
        <w:tc>
          <w:tcPr>
            <w:tcW w:w="6428"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sidRPr="005E72D0">
              <w:rPr>
                <w:rFonts w:ascii="Arial" w:hAnsi="Arial" w:cs="Arial"/>
                <w:b/>
                <w:sz w:val="24"/>
                <w:szCs w:val="24"/>
              </w:rPr>
              <w:t>Rationale</w:t>
            </w:r>
          </w:p>
        </w:tc>
      </w:tr>
      <w:tr w:rsidR="007A3024" w:rsidRPr="00DA5A5C" w:rsidTr="009D1B0F">
        <w:tc>
          <w:tcPr>
            <w:tcW w:w="3652" w:type="dxa"/>
          </w:tcPr>
          <w:p w:rsidR="007A3024" w:rsidRPr="00E1588D" w:rsidRDefault="007A3024" w:rsidP="00F41D4B">
            <w:pPr>
              <w:rPr>
                <w:rFonts w:ascii="Arial" w:hAnsi="Arial" w:cs="Arial"/>
                <w:b/>
              </w:rPr>
            </w:pPr>
            <w:r w:rsidRPr="00135459">
              <w:rPr>
                <w:rFonts w:ascii="Arial" w:hAnsi="Arial" w:cs="Arial"/>
                <w:b/>
              </w:rPr>
              <w:t xml:space="preserve">Prevalence of obesity (%), aged 4-5 </w:t>
            </w:r>
            <w:r>
              <w:rPr>
                <w:rFonts w:ascii="Arial" w:hAnsi="Arial" w:cs="Arial"/>
              </w:rPr>
              <w:t>–</w:t>
            </w:r>
            <w:r w:rsidRPr="00E1588D">
              <w:rPr>
                <w:rFonts w:ascii="Arial" w:hAnsi="Arial" w:cs="Arial"/>
              </w:rPr>
              <w:t xml:space="preserve"> </w:t>
            </w:r>
            <w:r>
              <w:rPr>
                <w:rFonts w:ascii="Arial" w:hAnsi="Arial" w:cs="Arial"/>
              </w:rPr>
              <w:t>Prevalence of obesity in children aged 4-5 years in Reception year as measured by NCMP</w:t>
            </w:r>
          </w:p>
        </w:tc>
        <w:tc>
          <w:tcPr>
            <w:tcW w:w="6428" w:type="dxa"/>
          </w:tcPr>
          <w:p w:rsidR="007A3024" w:rsidRDefault="007A3024" w:rsidP="00F41D4B">
            <w:pPr>
              <w:rPr>
                <w:rFonts w:ascii="Arial" w:hAnsi="Arial" w:cs="Arial"/>
                <w:shd w:val="clear" w:color="auto" w:fill="FFFFFF"/>
              </w:rPr>
            </w:pPr>
            <w:r>
              <w:rPr>
                <w:rFonts w:ascii="Arial" w:hAnsi="Arial" w:cs="Arial"/>
              </w:rPr>
              <w:t>This indicator identifies the prevalence of obesity at the start of primary school.</w:t>
            </w:r>
            <w:r w:rsidRPr="00354B62">
              <w:rPr>
                <w:rFonts w:ascii="Arial" w:hAnsi="Arial" w:cs="Arial"/>
                <w:shd w:val="clear" w:color="auto" w:fill="FFFFFF"/>
              </w:rPr>
              <w:t xml:space="preserve"> The health consequences of childhood obesity include </w:t>
            </w:r>
            <w:r>
              <w:rPr>
                <w:rFonts w:ascii="Arial" w:hAnsi="Arial" w:cs="Arial"/>
                <w:shd w:val="clear" w:color="auto" w:fill="FFFFFF"/>
              </w:rPr>
              <w:t>t</w:t>
            </w:r>
            <w:r w:rsidRPr="00354B62">
              <w:rPr>
                <w:rFonts w:ascii="Arial" w:hAnsi="Arial" w:cs="Arial"/>
                <w:shd w:val="clear" w:color="auto" w:fill="FFFFFF"/>
              </w:rPr>
              <w:t>ype 2 dia</w:t>
            </w:r>
            <w:r>
              <w:rPr>
                <w:rFonts w:ascii="Arial" w:hAnsi="Arial" w:cs="Arial"/>
                <w:shd w:val="clear" w:color="auto" w:fill="FFFFFF"/>
              </w:rPr>
              <w:t>betes, hypertension</w:t>
            </w:r>
            <w:r w:rsidRPr="00354B62">
              <w:rPr>
                <w:rFonts w:ascii="Arial" w:hAnsi="Arial" w:cs="Arial"/>
                <w:shd w:val="clear" w:color="auto" w:fill="FFFFFF"/>
              </w:rPr>
              <w:t xml:space="preserve"> and psychological problems such as social isolation, low self-esteem, teasing and bullying</w:t>
            </w:r>
            <w:r>
              <w:rPr>
                <w:rFonts w:ascii="Arial" w:hAnsi="Arial" w:cs="Arial"/>
                <w:shd w:val="clear" w:color="auto" w:fill="FFFFFF"/>
              </w:rPr>
              <w:t xml:space="preserve"> among other things</w:t>
            </w:r>
            <w:r w:rsidRPr="00354B62">
              <w:rPr>
                <w:rFonts w:ascii="Arial" w:hAnsi="Arial" w:cs="Arial"/>
                <w:shd w:val="clear" w:color="auto" w:fill="FFFFFF"/>
              </w:rPr>
              <w:t>.</w:t>
            </w:r>
            <w:r>
              <w:rPr>
                <w:rFonts w:ascii="Arial" w:hAnsi="Arial" w:cs="Arial"/>
                <w:shd w:val="clear" w:color="auto" w:fill="FFFFFF"/>
              </w:rPr>
              <w:t xml:space="preserve"> </w:t>
            </w:r>
            <w:r w:rsidRPr="00354B62">
              <w:rPr>
                <w:rFonts w:ascii="Arial" w:hAnsi="Arial" w:cs="Arial"/>
                <w:shd w:val="clear" w:color="auto" w:fill="FFFFFF"/>
              </w:rPr>
              <w:t>There is concern about the rise of childhood obesity and the implications of such obesity persisting into</w:t>
            </w:r>
            <w:r>
              <w:rPr>
                <w:rFonts w:ascii="Arial" w:hAnsi="Arial" w:cs="Arial"/>
                <w:shd w:val="clear" w:color="auto" w:fill="FFFFFF"/>
              </w:rPr>
              <w:t xml:space="preserve"> adulthood.</w:t>
            </w:r>
          </w:p>
          <w:p w:rsidR="007A3024" w:rsidRPr="00461873" w:rsidRDefault="007A3024" w:rsidP="00F41D4B">
            <w:pPr>
              <w:rPr>
                <w:rFonts w:ascii="Arial" w:hAnsi="Arial" w:cs="Arial"/>
                <w:shd w:val="clear" w:color="auto" w:fill="FFFFFF"/>
              </w:rPr>
            </w:pPr>
            <w:r>
              <w:rPr>
                <w:rFonts w:ascii="Arial" w:hAnsi="Arial" w:cs="Arial"/>
                <w:shd w:val="clear" w:color="auto" w:fill="FFFFFF"/>
              </w:rPr>
              <w:t>By taking action to reduce levels of childhood obesity, local authorities can help ensure healthy behaviours persist into adulthood culminating in a healthier population, a reduction in inequalities and reduced demand on social and health care services.</w:t>
            </w:r>
          </w:p>
        </w:tc>
      </w:tr>
      <w:tr w:rsidR="007A3024" w:rsidRPr="00DA5A5C" w:rsidTr="009D1B0F">
        <w:tc>
          <w:tcPr>
            <w:tcW w:w="3652" w:type="dxa"/>
          </w:tcPr>
          <w:p w:rsidR="007A3024" w:rsidRPr="00E1588D" w:rsidRDefault="007A3024" w:rsidP="00F41D4B">
            <w:pPr>
              <w:rPr>
                <w:rFonts w:ascii="Arial" w:hAnsi="Arial" w:cs="Arial"/>
                <w:b/>
              </w:rPr>
            </w:pPr>
            <w:r w:rsidRPr="00135459">
              <w:rPr>
                <w:rFonts w:ascii="Arial" w:hAnsi="Arial" w:cs="Arial"/>
                <w:b/>
              </w:rPr>
              <w:t xml:space="preserve">Prevalence of obesity (%), aged 10-11 </w:t>
            </w:r>
            <w:r>
              <w:rPr>
                <w:rFonts w:ascii="Arial" w:hAnsi="Arial" w:cs="Arial"/>
              </w:rPr>
              <w:t>–</w:t>
            </w:r>
            <w:r w:rsidRPr="00E1588D">
              <w:rPr>
                <w:rFonts w:ascii="Arial" w:hAnsi="Arial" w:cs="Arial"/>
              </w:rPr>
              <w:t xml:space="preserve"> </w:t>
            </w:r>
            <w:r>
              <w:rPr>
                <w:rFonts w:ascii="Arial" w:hAnsi="Arial" w:cs="Arial"/>
              </w:rPr>
              <w:t xml:space="preserve"> Prevalence of obesity in children aged 10-11 years in Year 6 as measured by NCMP</w:t>
            </w:r>
          </w:p>
        </w:tc>
        <w:tc>
          <w:tcPr>
            <w:tcW w:w="6428" w:type="dxa"/>
          </w:tcPr>
          <w:p w:rsidR="007A3024" w:rsidRPr="00461873" w:rsidRDefault="007A3024" w:rsidP="00F41D4B">
            <w:pPr>
              <w:rPr>
                <w:rFonts w:ascii="Arial" w:hAnsi="Arial" w:cs="Arial"/>
                <w:shd w:val="clear" w:color="auto" w:fill="FFFFFF"/>
              </w:rPr>
            </w:pPr>
            <w:r>
              <w:rPr>
                <w:rFonts w:ascii="Arial" w:hAnsi="Arial" w:cs="Arial"/>
              </w:rPr>
              <w:t>This indicator identifies the prevalence of obesity at the end of primary school.</w:t>
            </w:r>
            <w:r w:rsidRPr="00354B62">
              <w:rPr>
                <w:rFonts w:ascii="Arial" w:hAnsi="Arial" w:cs="Arial"/>
                <w:shd w:val="clear" w:color="auto" w:fill="FFFFFF"/>
              </w:rPr>
              <w:t xml:space="preserve"> The health consequences of childhood obesity include </w:t>
            </w:r>
            <w:r>
              <w:rPr>
                <w:rFonts w:ascii="Arial" w:hAnsi="Arial" w:cs="Arial"/>
                <w:shd w:val="clear" w:color="auto" w:fill="FFFFFF"/>
              </w:rPr>
              <w:t>t</w:t>
            </w:r>
            <w:r w:rsidRPr="00354B62">
              <w:rPr>
                <w:rFonts w:ascii="Arial" w:hAnsi="Arial" w:cs="Arial"/>
                <w:shd w:val="clear" w:color="auto" w:fill="FFFFFF"/>
              </w:rPr>
              <w:t>ype 2 dia</w:t>
            </w:r>
            <w:r>
              <w:rPr>
                <w:rFonts w:ascii="Arial" w:hAnsi="Arial" w:cs="Arial"/>
                <w:shd w:val="clear" w:color="auto" w:fill="FFFFFF"/>
              </w:rPr>
              <w:t>betes, hypertension</w:t>
            </w:r>
            <w:r w:rsidRPr="00354B62">
              <w:rPr>
                <w:rFonts w:ascii="Arial" w:hAnsi="Arial" w:cs="Arial"/>
                <w:shd w:val="clear" w:color="auto" w:fill="FFFFFF"/>
              </w:rPr>
              <w:t xml:space="preserve"> and psychological problems such as social isolation, low self-esteem, teasing and bullying</w:t>
            </w:r>
            <w:r>
              <w:rPr>
                <w:rFonts w:ascii="Arial" w:hAnsi="Arial" w:cs="Arial"/>
                <w:shd w:val="clear" w:color="auto" w:fill="FFFFFF"/>
              </w:rPr>
              <w:t xml:space="preserve"> among other things</w:t>
            </w:r>
            <w:r w:rsidRPr="00354B62">
              <w:rPr>
                <w:rFonts w:ascii="Arial" w:hAnsi="Arial" w:cs="Arial"/>
                <w:shd w:val="clear" w:color="auto" w:fill="FFFFFF"/>
              </w:rPr>
              <w:t>.</w:t>
            </w:r>
            <w:r>
              <w:rPr>
                <w:rFonts w:ascii="Arial" w:hAnsi="Arial" w:cs="Arial"/>
              </w:rPr>
              <w:t xml:space="preserve"> </w:t>
            </w:r>
            <w:r w:rsidRPr="00354B62">
              <w:rPr>
                <w:rFonts w:ascii="Arial" w:hAnsi="Arial" w:cs="Arial"/>
                <w:shd w:val="clear" w:color="auto" w:fill="FFFFFF"/>
              </w:rPr>
              <w:t>There is concern about the rise of childhood obesity</w:t>
            </w:r>
            <w:r>
              <w:rPr>
                <w:rFonts w:ascii="Arial" w:hAnsi="Arial" w:cs="Arial"/>
                <w:shd w:val="clear" w:color="auto" w:fill="FFFFFF"/>
              </w:rPr>
              <w:t>,</w:t>
            </w:r>
            <w:r w:rsidRPr="00354B62">
              <w:rPr>
                <w:rFonts w:ascii="Arial" w:hAnsi="Arial" w:cs="Arial"/>
                <w:shd w:val="clear" w:color="auto" w:fill="FFFFFF"/>
              </w:rPr>
              <w:t xml:space="preserve"> </w:t>
            </w:r>
            <w:r>
              <w:rPr>
                <w:rFonts w:ascii="Arial" w:hAnsi="Arial" w:cs="Arial"/>
                <w:shd w:val="clear" w:color="auto" w:fill="FFFFFF"/>
              </w:rPr>
              <w:t>the more than doubling of child obesity prevalence between Reception and Year 6</w:t>
            </w:r>
            <w:r w:rsidRPr="00354B62">
              <w:rPr>
                <w:rFonts w:ascii="Arial" w:hAnsi="Arial" w:cs="Arial"/>
                <w:shd w:val="clear" w:color="auto" w:fill="FFFFFF"/>
              </w:rPr>
              <w:t xml:space="preserve"> and the implications of such obesity persisting into adulthood. </w:t>
            </w:r>
          </w:p>
          <w:p w:rsidR="007A3024" w:rsidRPr="00461873" w:rsidRDefault="007A3024" w:rsidP="00F41D4B">
            <w:pPr>
              <w:rPr>
                <w:rFonts w:ascii="Arial" w:hAnsi="Arial" w:cs="Arial"/>
                <w:shd w:val="clear" w:color="auto" w:fill="FFFFFF"/>
              </w:rPr>
            </w:pPr>
            <w:r>
              <w:rPr>
                <w:rFonts w:ascii="Arial" w:hAnsi="Arial" w:cs="Arial"/>
                <w:shd w:val="clear" w:color="auto" w:fill="FFFFFF"/>
              </w:rPr>
              <w:t>By taking action to reduce levels of childhood obesity, local authorities can help ensure healthy behaviours persist into adulthood culminating in a healthier population, a reduction in inequalities and reduced demand on social and health care services.</w:t>
            </w:r>
          </w:p>
        </w:tc>
      </w:tr>
    </w:tbl>
    <w:p w:rsidR="007A3024" w:rsidRDefault="007A3024" w:rsidP="007A3024">
      <w:pPr>
        <w:rPr>
          <w:rFonts w:ascii="Arial" w:hAnsi="Arial" w:cs="Arial"/>
          <w:b/>
          <w:color w:val="98002E"/>
          <w:sz w:val="28"/>
          <w:szCs w:val="28"/>
        </w:rPr>
      </w:pPr>
    </w:p>
    <w:p w:rsidR="009D1B0F" w:rsidRDefault="009D1B0F" w:rsidP="007A3024">
      <w:pPr>
        <w:rPr>
          <w:rFonts w:ascii="Arial" w:hAnsi="Arial" w:cs="Arial"/>
          <w:b/>
          <w:color w:val="98002E"/>
          <w:sz w:val="28"/>
          <w:szCs w:val="28"/>
        </w:rPr>
      </w:pPr>
    </w:p>
    <w:p w:rsidR="007A3024" w:rsidRDefault="007A3024" w:rsidP="007A3024">
      <w:pPr>
        <w:rPr>
          <w:rFonts w:ascii="Arial" w:hAnsi="Arial" w:cs="Arial"/>
          <w:b/>
          <w:color w:val="98002E"/>
          <w:sz w:val="28"/>
          <w:szCs w:val="28"/>
        </w:rPr>
      </w:pPr>
      <w:r w:rsidRPr="005E72D0">
        <w:rPr>
          <w:rFonts w:ascii="Arial" w:hAnsi="Arial" w:cs="Arial"/>
          <w:b/>
          <w:color w:val="98002E"/>
          <w:sz w:val="28"/>
          <w:szCs w:val="28"/>
        </w:rPr>
        <w:lastRenderedPageBreak/>
        <w:t>Drug Treatment</w:t>
      </w:r>
    </w:p>
    <w:tbl>
      <w:tblPr>
        <w:tblStyle w:val="TableGrid"/>
        <w:tblW w:w="0" w:type="auto"/>
        <w:tblLook w:val="04A0" w:firstRow="1" w:lastRow="0" w:firstColumn="1" w:lastColumn="0" w:noHBand="0" w:noVBand="1"/>
      </w:tblPr>
      <w:tblGrid>
        <w:gridCol w:w="3652"/>
        <w:gridCol w:w="6428"/>
      </w:tblGrid>
      <w:tr w:rsidR="007A3024" w:rsidRPr="00DA5A5C" w:rsidTr="009D1B0F">
        <w:tc>
          <w:tcPr>
            <w:tcW w:w="3652"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Pr>
                <w:rFonts w:ascii="Arial" w:hAnsi="Arial" w:cs="Arial"/>
                <w:b/>
                <w:sz w:val="24"/>
                <w:szCs w:val="24"/>
              </w:rPr>
              <w:t>Indicator</w:t>
            </w:r>
            <w:r w:rsidRPr="005E72D0">
              <w:rPr>
                <w:rFonts w:ascii="Arial" w:hAnsi="Arial" w:cs="Arial"/>
                <w:b/>
                <w:sz w:val="24"/>
                <w:szCs w:val="24"/>
              </w:rPr>
              <w:t>s</w:t>
            </w:r>
          </w:p>
        </w:tc>
        <w:tc>
          <w:tcPr>
            <w:tcW w:w="6428"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sidRPr="005E72D0">
              <w:rPr>
                <w:rFonts w:ascii="Arial" w:hAnsi="Arial" w:cs="Arial"/>
                <w:b/>
                <w:sz w:val="24"/>
                <w:szCs w:val="24"/>
              </w:rPr>
              <w:t>Rationale</w:t>
            </w:r>
          </w:p>
        </w:tc>
      </w:tr>
      <w:tr w:rsidR="007A3024" w:rsidRPr="00DA5A5C" w:rsidTr="009D1B0F">
        <w:tc>
          <w:tcPr>
            <w:tcW w:w="3652" w:type="dxa"/>
          </w:tcPr>
          <w:p w:rsidR="007A3024" w:rsidRDefault="007A3024" w:rsidP="00F41D4B">
            <w:pPr>
              <w:rPr>
                <w:rFonts w:ascii="Arial" w:hAnsi="Arial" w:cs="Arial"/>
              </w:rPr>
            </w:pPr>
            <w:r w:rsidRPr="007A04D3">
              <w:rPr>
                <w:rFonts w:ascii="Arial" w:hAnsi="Arial" w:cs="Arial"/>
                <w:b/>
              </w:rPr>
              <w:t>Proportion of opiate users not in treatment (%)</w:t>
            </w:r>
            <w:r w:rsidR="009D1B0F">
              <w:rPr>
                <w:rFonts w:ascii="Arial" w:hAnsi="Arial" w:cs="Arial"/>
                <w:b/>
              </w:rPr>
              <w:t xml:space="preserve"> </w:t>
            </w:r>
            <w:r w:rsidRPr="006E2A07">
              <w:rPr>
                <w:rFonts w:ascii="Arial" w:hAnsi="Arial" w:cs="Arial"/>
              </w:rPr>
              <w:t xml:space="preserve">– the % </w:t>
            </w:r>
            <w:r>
              <w:rPr>
                <w:rFonts w:ascii="Arial" w:hAnsi="Arial" w:cs="Arial"/>
              </w:rPr>
              <w:t xml:space="preserve">persons not in treatment (based on </w:t>
            </w:r>
            <w:r w:rsidRPr="006E2A07">
              <w:rPr>
                <w:rFonts w:ascii="Arial" w:hAnsi="Arial" w:cs="Arial"/>
              </w:rPr>
              <w:t>prevalence estimate</w:t>
            </w:r>
            <w:r>
              <w:rPr>
                <w:rFonts w:ascii="Arial" w:hAnsi="Arial" w:cs="Arial"/>
              </w:rPr>
              <w:t>)</w:t>
            </w:r>
          </w:p>
          <w:p w:rsidR="007A3024" w:rsidRPr="001C62BC" w:rsidRDefault="007A3024" w:rsidP="00F41D4B">
            <w:pPr>
              <w:rPr>
                <w:rFonts w:ascii="Arial" w:hAnsi="Arial" w:cs="Arial"/>
                <w:sz w:val="16"/>
                <w:szCs w:val="16"/>
              </w:rPr>
            </w:pPr>
          </w:p>
        </w:tc>
        <w:tc>
          <w:tcPr>
            <w:tcW w:w="6428" w:type="dxa"/>
          </w:tcPr>
          <w:p w:rsidR="007A3024" w:rsidRDefault="007A3024" w:rsidP="00F41D4B">
            <w:pPr>
              <w:rPr>
                <w:rFonts w:ascii="Arial" w:hAnsi="Arial" w:cs="Arial"/>
              </w:rPr>
            </w:pPr>
            <w:r w:rsidRPr="00CD2056">
              <w:rPr>
                <w:rFonts w:ascii="Arial" w:hAnsi="Arial" w:cs="Arial"/>
              </w:rPr>
              <w:t xml:space="preserve">Services delivering evidence-based and effective structured </w:t>
            </w:r>
            <w:r>
              <w:rPr>
                <w:rFonts w:ascii="Arial" w:hAnsi="Arial" w:cs="Arial"/>
              </w:rPr>
              <w:t>drug</w:t>
            </w:r>
            <w:r w:rsidRPr="00CD2056">
              <w:rPr>
                <w:rFonts w:ascii="Arial" w:hAnsi="Arial" w:cs="Arial"/>
              </w:rPr>
              <w:t xml:space="preserve"> </w:t>
            </w:r>
            <w:r>
              <w:rPr>
                <w:rFonts w:ascii="Arial" w:hAnsi="Arial" w:cs="Arial"/>
              </w:rPr>
              <w:t xml:space="preserve">treatment </w:t>
            </w:r>
            <w:r w:rsidRPr="00CD2056">
              <w:rPr>
                <w:rFonts w:ascii="Arial" w:hAnsi="Arial" w:cs="Arial"/>
              </w:rPr>
              <w:t xml:space="preserve">interventions </w:t>
            </w:r>
            <w:r>
              <w:rPr>
                <w:rFonts w:ascii="Arial" w:hAnsi="Arial" w:cs="Arial"/>
              </w:rPr>
              <w:t xml:space="preserve">are </w:t>
            </w:r>
            <w:r w:rsidRPr="00CD2056">
              <w:rPr>
                <w:rFonts w:ascii="Arial" w:hAnsi="Arial" w:cs="Arial"/>
              </w:rPr>
              <w:t xml:space="preserve">vital components of </w:t>
            </w:r>
            <w:r>
              <w:rPr>
                <w:rFonts w:ascii="Arial" w:hAnsi="Arial" w:cs="Arial"/>
              </w:rPr>
              <w:t xml:space="preserve">a </w:t>
            </w:r>
            <w:r w:rsidRPr="00CD2056">
              <w:rPr>
                <w:rFonts w:ascii="Arial" w:hAnsi="Arial" w:cs="Arial"/>
              </w:rPr>
              <w:t>local authority</w:t>
            </w:r>
            <w:r>
              <w:rPr>
                <w:rFonts w:ascii="Arial" w:hAnsi="Arial" w:cs="Arial"/>
              </w:rPr>
              <w:t>’s response to drug misuse and dependence.</w:t>
            </w:r>
            <w:r w:rsidRPr="00CD2056">
              <w:rPr>
                <w:rFonts w:ascii="Arial" w:hAnsi="Arial" w:cs="Arial"/>
              </w:rPr>
              <w:t xml:space="preserve"> Such interventions can improve the lives of individuals, the life chances of their children</w:t>
            </w:r>
            <w:r>
              <w:rPr>
                <w:rFonts w:ascii="Arial" w:hAnsi="Arial" w:cs="Arial"/>
              </w:rPr>
              <w:t xml:space="preserve"> and family, and community stability.</w:t>
            </w:r>
            <w:r w:rsidRPr="00CD2056">
              <w:rPr>
                <w:rFonts w:ascii="Arial" w:hAnsi="Arial" w:cs="Arial"/>
              </w:rPr>
              <w:t xml:space="preserve"> They also have a significant impact </w:t>
            </w:r>
            <w:r>
              <w:rPr>
                <w:rFonts w:ascii="Arial" w:hAnsi="Arial" w:cs="Arial"/>
              </w:rPr>
              <w:t>on</w:t>
            </w:r>
            <w:r w:rsidRPr="00CD2056">
              <w:rPr>
                <w:rFonts w:ascii="Arial" w:hAnsi="Arial" w:cs="Arial"/>
              </w:rPr>
              <w:t xml:space="preserve"> reducing the spread of blood-borne viruses, reducing drug related deaths and reducing crime. The harmful effects of drugs are greater in poorer communities and effective treatment services can play an important role in addressing these inequalities.</w:t>
            </w:r>
            <w:r>
              <w:rPr>
                <w:rFonts w:ascii="Arial" w:hAnsi="Arial" w:cs="Arial"/>
              </w:rPr>
              <w:t xml:space="preserve"> </w:t>
            </w:r>
          </w:p>
          <w:p w:rsidR="007A3024" w:rsidRPr="00DA5A5C" w:rsidRDefault="007A3024" w:rsidP="00F41D4B">
            <w:pPr>
              <w:rPr>
                <w:rFonts w:ascii="Arial" w:hAnsi="Arial" w:cs="Arial"/>
              </w:rPr>
            </w:pPr>
            <w:r>
              <w:rPr>
                <w:rFonts w:ascii="Arial" w:hAnsi="Arial" w:cs="Arial"/>
              </w:rPr>
              <w:t>This indicator identifies how well need is being met in local areas.</w:t>
            </w:r>
          </w:p>
        </w:tc>
      </w:tr>
      <w:tr w:rsidR="007A3024" w:rsidRPr="00DA5A5C" w:rsidTr="009D1B0F">
        <w:tc>
          <w:tcPr>
            <w:tcW w:w="3652" w:type="dxa"/>
          </w:tcPr>
          <w:p w:rsidR="007A3024" w:rsidRPr="001C62BC" w:rsidRDefault="007A3024" w:rsidP="00F41D4B">
            <w:pPr>
              <w:rPr>
                <w:rFonts w:ascii="Arial" w:hAnsi="Arial" w:cs="Arial"/>
              </w:rPr>
            </w:pPr>
            <w:r w:rsidRPr="007A04D3">
              <w:rPr>
                <w:rFonts w:ascii="Arial" w:hAnsi="Arial" w:cs="Arial"/>
                <w:b/>
                <w:bCs/>
              </w:rPr>
              <w:t>Proportion waiting over three weeks for treatment (%)</w:t>
            </w:r>
            <w:r>
              <w:rPr>
                <w:rFonts w:ascii="Arial" w:hAnsi="Arial" w:cs="Arial"/>
                <w:b/>
                <w:bCs/>
              </w:rPr>
              <w:t xml:space="preserve"> </w:t>
            </w:r>
            <w:r w:rsidRPr="001C62BC">
              <w:rPr>
                <w:rFonts w:ascii="Arial" w:hAnsi="Arial" w:cs="Arial"/>
              </w:rPr>
              <w:t>– the % waiting over 3 weeks</w:t>
            </w:r>
            <w:r>
              <w:rPr>
                <w:rFonts w:ascii="Arial" w:hAnsi="Arial" w:cs="Arial"/>
              </w:rPr>
              <w:t xml:space="preserve"> for treatment</w:t>
            </w:r>
          </w:p>
          <w:p w:rsidR="007A3024" w:rsidRPr="00DA5A5C" w:rsidRDefault="007A3024" w:rsidP="00F41D4B">
            <w:pPr>
              <w:rPr>
                <w:rFonts w:ascii="Arial" w:hAnsi="Arial" w:cs="Arial"/>
              </w:rPr>
            </w:pPr>
          </w:p>
        </w:tc>
        <w:tc>
          <w:tcPr>
            <w:tcW w:w="6428" w:type="dxa"/>
          </w:tcPr>
          <w:p w:rsidR="007A3024" w:rsidRPr="00461873" w:rsidRDefault="007A3024" w:rsidP="00F41D4B">
            <w:pPr>
              <w:rPr>
                <w:rFonts w:ascii="Arial" w:hAnsi="Arial" w:cs="Arial"/>
                <w:color w:val="000000"/>
              </w:rPr>
            </w:pPr>
            <w:r>
              <w:rPr>
                <w:rFonts w:ascii="Arial" w:hAnsi="Arial" w:cs="Arial"/>
              </w:rPr>
              <w:t xml:space="preserve">This indicator measures the proportion of people waiting beyond a </w:t>
            </w:r>
            <w:r w:rsidRPr="001C62BC">
              <w:rPr>
                <w:rFonts w:ascii="Arial" w:hAnsi="Arial" w:cs="Arial"/>
              </w:rPr>
              <w:t>reasonable timescale</w:t>
            </w:r>
            <w:r>
              <w:rPr>
                <w:rFonts w:ascii="Arial" w:hAnsi="Arial" w:cs="Arial"/>
              </w:rPr>
              <w:t xml:space="preserve"> for treatment. </w:t>
            </w:r>
            <w:r w:rsidRPr="00CD2056">
              <w:rPr>
                <w:rFonts w:ascii="Arial" w:hAnsi="Arial" w:cs="Arial"/>
                <w:color w:val="000000"/>
              </w:rPr>
              <w:t>Prompt access to treatment is vital</w:t>
            </w:r>
            <w:r>
              <w:rPr>
                <w:rFonts w:ascii="Arial" w:hAnsi="Arial" w:cs="Arial"/>
                <w:color w:val="000000"/>
              </w:rPr>
              <w:t xml:space="preserve"> in terms of engaging people in treatment</w:t>
            </w:r>
            <w:r w:rsidRPr="00CD2056">
              <w:rPr>
                <w:rFonts w:ascii="Arial" w:hAnsi="Arial" w:cs="Arial"/>
                <w:color w:val="000000"/>
              </w:rPr>
              <w:t>, and long waiting times can be a sign of problems with the availability and/or effectiveness of treatment.</w:t>
            </w:r>
          </w:p>
        </w:tc>
      </w:tr>
      <w:tr w:rsidR="007A3024" w:rsidRPr="00DA5A5C" w:rsidTr="009D1B0F">
        <w:tc>
          <w:tcPr>
            <w:tcW w:w="3652" w:type="dxa"/>
          </w:tcPr>
          <w:p w:rsidR="007A3024" w:rsidRDefault="007A3024" w:rsidP="00F41D4B">
            <w:pPr>
              <w:rPr>
                <w:rFonts w:ascii="Arial" w:hAnsi="Arial" w:cs="Arial"/>
              </w:rPr>
            </w:pPr>
            <w:r w:rsidRPr="007A04D3">
              <w:rPr>
                <w:rFonts w:ascii="Arial" w:hAnsi="Arial" w:cs="Arial"/>
                <w:b/>
                <w:bCs/>
              </w:rPr>
              <w:t>Successful completion of treatment, treatment ratio</w:t>
            </w:r>
            <w:r>
              <w:rPr>
                <w:rFonts w:ascii="Arial" w:hAnsi="Arial" w:cs="Arial"/>
                <w:b/>
                <w:bCs/>
              </w:rPr>
              <w:t xml:space="preserve"> -</w:t>
            </w:r>
            <w:r w:rsidRPr="001C62BC">
              <w:rPr>
                <w:rFonts w:ascii="Arial" w:hAnsi="Arial" w:cs="Arial"/>
                <w:b/>
                <w:bCs/>
              </w:rPr>
              <w:t xml:space="preserve"> </w:t>
            </w:r>
            <w:r w:rsidRPr="007A04D3">
              <w:rPr>
                <w:rFonts w:ascii="Arial" w:hAnsi="Arial" w:cs="Arial"/>
                <w:bCs/>
              </w:rPr>
              <w:t xml:space="preserve">people who do not re-present </w:t>
            </w:r>
            <w:r w:rsidRPr="007A04D3">
              <w:rPr>
                <w:rFonts w:ascii="Arial" w:hAnsi="Arial" w:cs="Arial"/>
              </w:rPr>
              <w:t>within 6 months of completion, ratio of</w:t>
            </w:r>
            <w:r>
              <w:rPr>
                <w:rFonts w:ascii="Arial" w:hAnsi="Arial" w:cs="Arial"/>
              </w:rPr>
              <w:t xml:space="preserve"> observed to expected </w:t>
            </w:r>
          </w:p>
          <w:p w:rsidR="007A3024" w:rsidRPr="001C62BC" w:rsidRDefault="007A3024" w:rsidP="00F41D4B">
            <w:pPr>
              <w:rPr>
                <w:rFonts w:ascii="Arial" w:hAnsi="Arial" w:cs="Arial"/>
                <w:sz w:val="16"/>
                <w:szCs w:val="16"/>
              </w:rPr>
            </w:pPr>
          </w:p>
        </w:tc>
        <w:tc>
          <w:tcPr>
            <w:tcW w:w="6428" w:type="dxa"/>
          </w:tcPr>
          <w:p w:rsidR="007A3024" w:rsidRDefault="007A3024" w:rsidP="00F41D4B">
            <w:pPr>
              <w:shd w:val="clear" w:color="auto" w:fill="FFFFFF"/>
              <w:rPr>
                <w:rFonts w:ascii="Arial" w:eastAsia="Times New Roman" w:hAnsi="Arial" w:cs="Arial"/>
                <w:lang w:eastAsia="en-GB"/>
              </w:rPr>
            </w:pPr>
            <w:r>
              <w:rPr>
                <w:rFonts w:ascii="Arial" w:eastAsia="Times New Roman" w:hAnsi="Arial" w:cs="Arial"/>
                <w:lang w:eastAsia="en-GB"/>
              </w:rPr>
              <w:t xml:space="preserve">This indicator allows a comparison of recovery rates and can illustrate the effectiveness of a service in a particular area. </w:t>
            </w:r>
            <w:r w:rsidRPr="00DA4E53">
              <w:rPr>
                <w:rFonts w:ascii="Arial" w:eastAsia="Times New Roman" w:hAnsi="Arial" w:cs="Arial"/>
                <w:lang w:eastAsia="en-GB"/>
              </w:rPr>
              <w:t>Individuals achieving this outcome</w:t>
            </w:r>
            <w:r>
              <w:rPr>
                <w:rFonts w:ascii="Arial" w:eastAsia="Times New Roman" w:hAnsi="Arial" w:cs="Arial"/>
                <w:lang w:eastAsia="en-GB"/>
              </w:rPr>
              <w:t xml:space="preserve"> have overcome their drug dependence, which can lead to</w:t>
            </w:r>
            <w:r w:rsidRPr="00DA4E53">
              <w:rPr>
                <w:rFonts w:ascii="Arial" w:eastAsia="Times New Roman" w:hAnsi="Arial" w:cs="Arial"/>
                <w:lang w:eastAsia="en-GB"/>
              </w:rPr>
              <w:t xml:space="preserve"> improvement</w:t>
            </w:r>
            <w:r>
              <w:rPr>
                <w:rFonts w:ascii="Arial" w:eastAsia="Times New Roman" w:hAnsi="Arial" w:cs="Arial"/>
                <w:lang w:eastAsia="en-GB"/>
              </w:rPr>
              <w:t>s</w:t>
            </w:r>
            <w:r w:rsidRPr="00DA4E53">
              <w:rPr>
                <w:rFonts w:ascii="Arial" w:eastAsia="Times New Roman" w:hAnsi="Arial" w:cs="Arial"/>
                <w:lang w:eastAsia="en-GB"/>
              </w:rPr>
              <w:t xml:space="preserve"> in health and well-being</w:t>
            </w:r>
            <w:r>
              <w:rPr>
                <w:rFonts w:ascii="Arial" w:eastAsia="Times New Roman" w:hAnsi="Arial" w:cs="Arial"/>
                <w:lang w:eastAsia="en-GB"/>
              </w:rPr>
              <w:t>, reduced mortality,</w:t>
            </w:r>
            <w:r w:rsidRPr="00DA4E53">
              <w:rPr>
                <w:rFonts w:ascii="Arial" w:eastAsia="Times New Roman" w:hAnsi="Arial" w:cs="Arial"/>
                <w:lang w:eastAsia="en-GB"/>
              </w:rPr>
              <w:t xml:space="preserve"> reduced blood-borne virus transmission</w:t>
            </w:r>
            <w:r>
              <w:rPr>
                <w:rFonts w:ascii="Arial" w:eastAsia="Times New Roman" w:hAnsi="Arial" w:cs="Arial"/>
                <w:lang w:eastAsia="en-GB"/>
              </w:rPr>
              <w:t xml:space="preserve"> risk</w:t>
            </w:r>
            <w:r w:rsidRPr="00DA4E53">
              <w:rPr>
                <w:rFonts w:ascii="Arial" w:eastAsia="Times New Roman" w:hAnsi="Arial" w:cs="Arial"/>
                <w:lang w:eastAsia="en-GB"/>
              </w:rPr>
              <w:t>, improved parenting and improved physical and psychological health.</w:t>
            </w:r>
          </w:p>
          <w:p w:rsidR="007A3024" w:rsidRPr="00DA4E53" w:rsidRDefault="007A3024" w:rsidP="00F41D4B">
            <w:pPr>
              <w:shd w:val="clear" w:color="auto" w:fill="FFFFFF"/>
              <w:rPr>
                <w:rFonts w:ascii="Arial" w:eastAsia="Times New Roman" w:hAnsi="Arial" w:cs="Arial"/>
                <w:lang w:eastAsia="en-GB"/>
              </w:rPr>
            </w:pPr>
            <w:r>
              <w:rPr>
                <w:rFonts w:ascii="Arial" w:eastAsia="Times New Roman" w:hAnsi="Arial" w:cs="Arial"/>
                <w:lang w:eastAsia="en-GB"/>
              </w:rPr>
              <w:t>This indicator</w:t>
            </w:r>
            <w:r w:rsidRPr="00DA4E53">
              <w:rPr>
                <w:rFonts w:ascii="Arial" w:eastAsia="Times New Roman" w:hAnsi="Arial" w:cs="Arial"/>
                <w:lang w:eastAsia="en-GB"/>
              </w:rPr>
              <w:t xml:space="preserve"> aligns with the </w:t>
            </w:r>
            <w:r>
              <w:rPr>
                <w:rFonts w:ascii="Arial" w:eastAsia="Times New Roman" w:hAnsi="Arial" w:cs="Arial"/>
                <w:lang w:eastAsia="en-GB"/>
              </w:rPr>
              <w:t xml:space="preserve">public health </w:t>
            </w:r>
            <w:r w:rsidRPr="00DA4E53">
              <w:rPr>
                <w:rFonts w:ascii="Arial" w:eastAsia="Times New Roman" w:hAnsi="Arial" w:cs="Arial"/>
                <w:lang w:eastAsia="en-GB"/>
              </w:rPr>
              <w:t xml:space="preserve">ambition of </w:t>
            </w:r>
            <w:r>
              <w:rPr>
                <w:rFonts w:ascii="Arial" w:eastAsia="Times New Roman" w:hAnsi="Arial" w:cs="Arial"/>
                <w:lang w:eastAsia="en-GB"/>
              </w:rPr>
              <w:t xml:space="preserve">the </w:t>
            </w:r>
            <w:r w:rsidRPr="00DA4E53">
              <w:rPr>
                <w:rFonts w:ascii="Arial" w:eastAsia="Times New Roman" w:hAnsi="Arial" w:cs="Arial"/>
                <w:lang w:eastAsia="en-GB"/>
              </w:rPr>
              <w:t xml:space="preserve">Government's drug strategy of increasing the number of individuals recovering from addiction. It also </w:t>
            </w:r>
            <w:r>
              <w:rPr>
                <w:rFonts w:ascii="Arial" w:eastAsia="Times New Roman" w:hAnsi="Arial" w:cs="Arial"/>
                <w:lang w:eastAsia="en-GB"/>
              </w:rPr>
              <w:t>supports</w:t>
            </w:r>
            <w:r w:rsidRPr="00DA4E53">
              <w:rPr>
                <w:rFonts w:ascii="Arial" w:eastAsia="Times New Roman" w:hAnsi="Arial" w:cs="Arial"/>
                <w:lang w:eastAsia="en-GB"/>
              </w:rPr>
              <w:t xml:space="preserve"> reduc</w:t>
            </w:r>
            <w:r>
              <w:rPr>
                <w:rFonts w:ascii="Arial" w:eastAsia="Times New Roman" w:hAnsi="Arial" w:cs="Arial"/>
                <w:lang w:eastAsia="en-GB"/>
              </w:rPr>
              <w:t>tions in</w:t>
            </w:r>
            <w:r w:rsidRPr="00DA4E53">
              <w:rPr>
                <w:rFonts w:ascii="Arial" w:eastAsia="Times New Roman" w:hAnsi="Arial" w:cs="Arial"/>
                <w:lang w:eastAsia="en-GB"/>
              </w:rPr>
              <w:t xml:space="preserve"> re-offending</w:t>
            </w:r>
            <w:r>
              <w:rPr>
                <w:rFonts w:ascii="Arial" w:eastAsia="Times New Roman" w:hAnsi="Arial" w:cs="Arial"/>
                <w:lang w:eastAsia="en-GB"/>
              </w:rPr>
              <w:t>,</w:t>
            </w:r>
            <w:r w:rsidRPr="00DA4E53">
              <w:rPr>
                <w:rFonts w:ascii="Arial" w:eastAsia="Times New Roman" w:hAnsi="Arial" w:cs="Arial"/>
                <w:lang w:eastAsia="en-GB"/>
              </w:rPr>
              <w:t xml:space="preserve"> as offending behaviour is closely linked to substance use and </w:t>
            </w:r>
            <w:r>
              <w:rPr>
                <w:rFonts w:ascii="Arial" w:eastAsia="Times New Roman" w:hAnsi="Arial" w:cs="Arial"/>
                <w:lang w:eastAsia="en-GB"/>
              </w:rPr>
              <w:t xml:space="preserve">there is evidence that treatment </w:t>
            </w:r>
            <w:r w:rsidRPr="00DA4E53">
              <w:rPr>
                <w:rFonts w:ascii="Arial" w:eastAsia="Times New Roman" w:hAnsi="Arial" w:cs="Arial"/>
                <w:lang w:eastAsia="en-GB"/>
              </w:rPr>
              <w:t xml:space="preserve">reduces re-offending significantly. This in turn will have benefits </w:t>
            </w:r>
            <w:r>
              <w:rPr>
                <w:rFonts w:ascii="Arial" w:eastAsia="Times New Roman" w:hAnsi="Arial" w:cs="Arial"/>
                <w:lang w:eastAsia="en-GB"/>
              </w:rPr>
              <w:t xml:space="preserve">for a wide range of other </w:t>
            </w:r>
            <w:r w:rsidRPr="00DA4E53">
              <w:rPr>
                <w:rFonts w:ascii="Arial" w:eastAsia="Times New Roman" w:hAnsi="Arial" w:cs="Arial"/>
                <w:lang w:eastAsia="en-GB"/>
              </w:rPr>
              <w:t>services</w:t>
            </w:r>
            <w:r>
              <w:rPr>
                <w:rFonts w:ascii="Arial" w:eastAsia="Times New Roman" w:hAnsi="Arial" w:cs="Arial"/>
                <w:lang w:eastAsia="en-GB"/>
              </w:rPr>
              <w:t>.</w:t>
            </w:r>
          </w:p>
        </w:tc>
      </w:tr>
      <w:tr w:rsidR="007A3024" w:rsidRPr="00DA5A5C" w:rsidTr="009D1B0F">
        <w:tc>
          <w:tcPr>
            <w:tcW w:w="3652" w:type="dxa"/>
          </w:tcPr>
          <w:p w:rsidR="007A3024" w:rsidRPr="001C62BC" w:rsidRDefault="007A3024" w:rsidP="00F41D4B">
            <w:pPr>
              <w:rPr>
                <w:rFonts w:ascii="Arial" w:hAnsi="Arial" w:cs="Arial"/>
                <w:b/>
                <w:bCs/>
              </w:rPr>
            </w:pPr>
            <w:r w:rsidRPr="00890CFD">
              <w:rPr>
                <w:rFonts w:ascii="Arial" w:hAnsi="Arial" w:cs="Arial"/>
                <w:b/>
                <w:bCs/>
              </w:rPr>
              <w:t>Deaths in treatment, mortality ratio</w:t>
            </w:r>
            <w:r>
              <w:rPr>
                <w:rFonts w:ascii="Arial" w:hAnsi="Arial" w:cs="Arial"/>
                <w:b/>
                <w:bCs/>
              </w:rPr>
              <w:t xml:space="preserve"> </w:t>
            </w:r>
            <w:r w:rsidRPr="001C62BC">
              <w:rPr>
                <w:rFonts w:ascii="Arial" w:hAnsi="Arial" w:cs="Arial"/>
                <w:bCs/>
              </w:rPr>
              <w:t>– ratio of observed to expected deaths</w:t>
            </w:r>
          </w:p>
          <w:p w:rsidR="007A3024" w:rsidRPr="001C62BC" w:rsidRDefault="007A3024" w:rsidP="00F41D4B">
            <w:pPr>
              <w:rPr>
                <w:rFonts w:ascii="Arial" w:hAnsi="Arial" w:cs="Arial"/>
                <w:b/>
                <w:bCs/>
              </w:rPr>
            </w:pPr>
          </w:p>
        </w:tc>
        <w:tc>
          <w:tcPr>
            <w:tcW w:w="6428" w:type="dxa"/>
          </w:tcPr>
          <w:p w:rsidR="007A3024" w:rsidRPr="00DA5A5C" w:rsidRDefault="007A3024" w:rsidP="00F41D4B">
            <w:pPr>
              <w:rPr>
                <w:rFonts w:ascii="Arial" w:hAnsi="Arial" w:cs="Arial"/>
              </w:rPr>
            </w:pPr>
            <w:r>
              <w:rPr>
                <w:rFonts w:ascii="Arial" w:hAnsi="Arial" w:cs="Arial"/>
                <w:shd w:val="clear" w:color="auto" w:fill="FFFFFF"/>
              </w:rPr>
              <w:t>This indicator i</w:t>
            </w:r>
            <w:r>
              <w:rPr>
                <w:rFonts w:ascii="Arial" w:hAnsi="Arial" w:cs="Arial"/>
              </w:rPr>
              <w:t>dentifies local authorities</w:t>
            </w:r>
            <w:r w:rsidRPr="001C62BC">
              <w:rPr>
                <w:rFonts w:ascii="Arial" w:hAnsi="Arial" w:cs="Arial"/>
              </w:rPr>
              <w:t xml:space="preserve"> where </w:t>
            </w:r>
            <w:r>
              <w:rPr>
                <w:rFonts w:ascii="Arial" w:hAnsi="Arial" w:cs="Arial"/>
              </w:rPr>
              <w:t xml:space="preserve">deaths in treatment are higher or lower </w:t>
            </w:r>
            <w:r w:rsidRPr="001C62BC">
              <w:rPr>
                <w:rFonts w:ascii="Arial" w:hAnsi="Arial" w:cs="Arial"/>
              </w:rPr>
              <w:t>than expected</w:t>
            </w:r>
            <w:r>
              <w:rPr>
                <w:rFonts w:ascii="Arial" w:hAnsi="Arial" w:cs="Arial"/>
              </w:rPr>
              <w:t>.</w:t>
            </w:r>
            <w:r w:rsidRPr="001C62BC">
              <w:rPr>
                <w:rFonts w:ascii="Arial" w:hAnsi="Arial" w:cs="Arial"/>
              </w:rPr>
              <w:t xml:space="preserve"> </w:t>
            </w:r>
            <w:r>
              <w:rPr>
                <w:rFonts w:ascii="Arial" w:hAnsi="Arial" w:cs="Arial"/>
              </w:rPr>
              <w:t>This rate is indicative of the</w:t>
            </w:r>
            <w:r w:rsidRPr="001C62BC">
              <w:rPr>
                <w:rFonts w:ascii="Arial" w:hAnsi="Arial" w:cs="Arial"/>
              </w:rPr>
              <w:t xml:space="preserve"> </w:t>
            </w:r>
            <w:r>
              <w:rPr>
                <w:rFonts w:ascii="Arial" w:hAnsi="Arial" w:cs="Arial"/>
              </w:rPr>
              <w:t xml:space="preserve">safety, </w:t>
            </w:r>
            <w:r w:rsidRPr="001C62BC">
              <w:rPr>
                <w:rFonts w:ascii="Arial" w:hAnsi="Arial" w:cs="Arial"/>
              </w:rPr>
              <w:t xml:space="preserve">effectiveness </w:t>
            </w:r>
            <w:r>
              <w:rPr>
                <w:rFonts w:ascii="Arial" w:hAnsi="Arial" w:cs="Arial"/>
              </w:rPr>
              <w:t xml:space="preserve">and protection afforded by drug treatment </w:t>
            </w:r>
            <w:r w:rsidRPr="001C62BC">
              <w:rPr>
                <w:rFonts w:ascii="Arial" w:hAnsi="Arial" w:cs="Arial"/>
              </w:rPr>
              <w:t>service</w:t>
            </w:r>
            <w:r>
              <w:rPr>
                <w:rFonts w:ascii="Arial" w:hAnsi="Arial" w:cs="Arial"/>
              </w:rPr>
              <w:t>s.</w:t>
            </w:r>
          </w:p>
        </w:tc>
      </w:tr>
    </w:tbl>
    <w:p w:rsidR="007A3024" w:rsidRDefault="007A3024" w:rsidP="007A3024">
      <w:pPr>
        <w:rPr>
          <w:rFonts w:ascii="Arial" w:hAnsi="Arial" w:cs="Arial"/>
          <w:b/>
          <w:color w:val="98002E"/>
          <w:sz w:val="28"/>
          <w:szCs w:val="28"/>
        </w:rPr>
      </w:pPr>
    </w:p>
    <w:p w:rsidR="009D1B0F" w:rsidRDefault="009D1B0F" w:rsidP="007A3024">
      <w:pPr>
        <w:rPr>
          <w:rFonts w:ascii="Arial" w:hAnsi="Arial" w:cs="Arial"/>
          <w:b/>
          <w:color w:val="98002E"/>
          <w:sz w:val="28"/>
          <w:szCs w:val="28"/>
        </w:rPr>
      </w:pPr>
    </w:p>
    <w:p w:rsidR="007A3024" w:rsidRDefault="007A3024" w:rsidP="007A3024">
      <w:pPr>
        <w:rPr>
          <w:rFonts w:ascii="Arial" w:hAnsi="Arial" w:cs="Arial"/>
          <w:b/>
          <w:color w:val="98002E"/>
          <w:sz w:val="28"/>
          <w:szCs w:val="28"/>
        </w:rPr>
      </w:pPr>
    </w:p>
    <w:p w:rsidR="007A3024" w:rsidRDefault="007A3024" w:rsidP="007A3024">
      <w:pPr>
        <w:rPr>
          <w:rFonts w:ascii="Arial" w:hAnsi="Arial" w:cs="Arial"/>
          <w:b/>
          <w:color w:val="98002E"/>
          <w:sz w:val="28"/>
          <w:szCs w:val="28"/>
        </w:rPr>
      </w:pPr>
      <w:r w:rsidRPr="00DA5A5C">
        <w:rPr>
          <w:rFonts w:ascii="Arial" w:hAnsi="Arial" w:cs="Arial"/>
          <w:b/>
          <w:color w:val="98002E"/>
          <w:sz w:val="28"/>
          <w:szCs w:val="28"/>
        </w:rPr>
        <w:lastRenderedPageBreak/>
        <w:t>Alcohol Treatment</w:t>
      </w:r>
      <w:r>
        <w:rPr>
          <w:rFonts w:ascii="Arial" w:hAnsi="Arial" w:cs="Arial"/>
          <w:b/>
          <w:color w:val="98002E"/>
          <w:sz w:val="28"/>
          <w:szCs w:val="28"/>
        </w:rPr>
        <w:t xml:space="preserve"> </w:t>
      </w:r>
    </w:p>
    <w:tbl>
      <w:tblPr>
        <w:tblStyle w:val="TableGrid"/>
        <w:tblW w:w="0" w:type="auto"/>
        <w:tblLook w:val="04A0" w:firstRow="1" w:lastRow="0" w:firstColumn="1" w:lastColumn="0" w:noHBand="0" w:noVBand="1"/>
      </w:tblPr>
      <w:tblGrid>
        <w:gridCol w:w="3652"/>
        <w:gridCol w:w="6428"/>
      </w:tblGrid>
      <w:tr w:rsidR="007A3024" w:rsidRPr="00DA5A5C" w:rsidTr="009D1B0F">
        <w:tc>
          <w:tcPr>
            <w:tcW w:w="3652"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sidRPr="005E72D0">
              <w:rPr>
                <w:rFonts w:ascii="Arial" w:hAnsi="Arial" w:cs="Arial"/>
                <w:b/>
                <w:sz w:val="24"/>
                <w:szCs w:val="24"/>
              </w:rPr>
              <w:t>Indicator/s</w:t>
            </w:r>
          </w:p>
        </w:tc>
        <w:tc>
          <w:tcPr>
            <w:tcW w:w="6428"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sidRPr="005E72D0">
              <w:rPr>
                <w:rFonts w:ascii="Arial" w:hAnsi="Arial" w:cs="Arial"/>
                <w:b/>
                <w:sz w:val="24"/>
                <w:szCs w:val="24"/>
              </w:rPr>
              <w:t>Rationale</w:t>
            </w:r>
          </w:p>
        </w:tc>
      </w:tr>
      <w:tr w:rsidR="007A3024" w:rsidRPr="00DA5A5C" w:rsidTr="009D1B0F">
        <w:tc>
          <w:tcPr>
            <w:tcW w:w="3652" w:type="dxa"/>
          </w:tcPr>
          <w:p w:rsidR="007A3024" w:rsidRDefault="007A3024" w:rsidP="00F41D4B">
            <w:pPr>
              <w:rPr>
                <w:rFonts w:ascii="Arial" w:hAnsi="Arial" w:cs="Arial"/>
              </w:rPr>
            </w:pPr>
            <w:r w:rsidRPr="00223D92">
              <w:rPr>
                <w:rFonts w:ascii="Arial" w:hAnsi="Arial" w:cs="Arial"/>
                <w:b/>
              </w:rPr>
              <w:t>Proportion of dependent drinkers not in treatment (%)</w:t>
            </w:r>
            <w:r w:rsidR="009D1B0F">
              <w:rPr>
                <w:rFonts w:ascii="Arial" w:hAnsi="Arial" w:cs="Arial"/>
                <w:b/>
              </w:rPr>
              <w:t xml:space="preserve"> </w:t>
            </w:r>
            <w:r w:rsidRPr="006E2A07">
              <w:rPr>
                <w:rFonts w:ascii="Arial" w:hAnsi="Arial" w:cs="Arial"/>
              </w:rPr>
              <w:t xml:space="preserve">– the % </w:t>
            </w:r>
            <w:r>
              <w:rPr>
                <w:rFonts w:ascii="Arial" w:hAnsi="Arial" w:cs="Arial"/>
              </w:rPr>
              <w:t xml:space="preserve">persons not in treatment based on </w:t>
            </w:r>
            <w:r w:rsidRPr="006E2A07">
              <w:rPr>
                <w:rFonts w:ascii="Arial" w:hAnsi="Arial" w:cs="Arial"/>
              </w:rPr>
              <w:t>prevalence estimate</w:t>
            </w:r>
          </w:p>
          <w:p w:rsidR="007A3024" w:rsidRPr="001C62BC" w:rsidRDefault="007A3024" w:rsidP="00F41D4B">
            <w:pPr>
              <w:rPr>
                <w:rFonts w:ascii="Arial" w:hAnsi="Arial" w:cs="Arial"/>
                <w:sz w:val="16"/>
                <w:szCs w:val="16"/>
              </w:rPr>
            </w:pPr>
          </w:p>
        </w:tc>
        <w:tc>
          <w:tcPr>
            <w:tcW w:w="6428" w:type="dxa"/>
          </w:tcPr>
          <w:p w:rsidR="007A3024" w:rsidRPr="00DA5A5C" w:rsidRDefault="007A3024" w:rsidP="00F41D4B">
            <w:pPr>
              <w:rPr>
                <w:rFonts w:ascii="Arial" w:hAnsi="Arial" w:cs="Arial"/>
              </w:rPr>
            </w:pPr>
            <w:r w:rsidRPr="00CD2056">
              <w:rPr>
                <w:rFonts w:ascii="Arial" w:hAnsi="Arial" w:cs="Arial"/>
              </w:rPr>
              <w:t xml:space="preserve">Services delivering evidence-based and effective structured </w:t>
            </w:r>
            <w:r>
              <w:rPr>
                <w:rFonts w:ascii="Arial" w:hAnsi="Arial" w:cs="Arial"/>
              </w:rPr>
              <w:t>substance misuse</w:t>
            </w:r>
            <w:r w:rsidRPr="00CD2056">
              <w:rPr>
                <w:rFonts w:ascii="Arial" w:hAnsi="Arial" w:cs="Arial"/>
              </w:rPr>
              <w:t xml:space="preserve"> </w:t>
            </w:r>
            <w:r>
              <w:rPr>
                <w:rFonts w:ascii="Arial" w:hAnsi="Arial" w:cs="Arial"/>
              </w:rPr>
              <w:t xml:space="preserve">treatment </w:t>
            </w:r>
            <w:r w:rsidRPr="00CD2056">
              <w:rPr>
                <w:rFonts w:ascii="Arial" w:hAnsi="Arial" w:cs="Arial"/>
              </w:rPr>
              <w:t xml:space="preserve">interventions </w:t>
            </w:r>
            <w:r>
              <w:rPr>
                <w:rFonts w:ascii="Arial" w:hAnsi="Arial" w:cs="Arial"/>
              </w:rPr>
              <w:t xml:space="preserve">are </w:t>
            </w:r>
            <w:r w:rsidRPr="00CD2056">
              <w:rPr>
                <w:rFonts w:ascii="Arial" w:hAnsi="Arial" w:cs="Arial"/>
              </w:rPr>
              <w:t xml:space="preserve">vital components of </w:t>
            </w:r>
            <w:r>
              <w:rPr>
                <w:rFonts w:ascii="Arial" w:hAnsi="Arial" w:cs="Arial"/>
              </w:rPr>
              <w:t xml:space="preserve">a </w:t>
            </w:r>
            <w:r w:rsidRPr="00CD2056">
              <w:rPr>
                <w:rFonts w:ascii="Arial" w:hAnsi="Arial" w:cs="Arial"/>
              </w:rPr>
              <w:t>local authority</w:t>
            </w:r>
            <w:r>
              <w:rPr>
                <w:rFonts w:ascii="Arial" w:hAnsi="Arial" w:cs="Arial"/>
              </w:rPr>
              <w:t>’s response to substance misuse and dependence</w:t>
            </w:r>
            <w:r w:rsidRPr="00CD2056">
              <w:rPr>
                <w:rFonts w:ascii="Arial" w:hAnsi="Arial" w:cs="Arial"/>
              </w:rPr>
              <w:t xml:space="preserve"> </w:t>
            </w:r>
            <w:r>
              <w:rPr>
                <w:rFonts w:ascii="Arial" w:hAnsi="Arial" w:cs="Arial"/>
              </w:rPr>
              <w:t xml:space="preserve"> </w:t>
            </w:r>
            <w:r w:rsidRPr="00CD2056">
              <w:rPr>
                <w:rFonts w:ascii="Arial" w:hAnsi="Arial" w:cs="Arial"/>
              </w:rPr>
              <w:t>Such interventions can improve the lives of individuals, the life chances of their children</w:t>
            </w:r>
            <w:r>
              <w:rPr>
                <w:rFonts w:ascii="Arial" w:hAnsi="Arial" w:cs="Arial"/>
              </w:rPr>
              <w:t xml:space="preserve"> and family, and community stability.</w:t>
            </w:r>
            <w:r w:rsidRPr="00CD2056">
              <w:rPr>
                <w:rFonts w:ascii="Arial" w:hAnsi="Arial" w:cs="Arial"/>
              </w:rPr>
              <w:t xml:space="preserve"> They also have a significant impact </w:t>
            </w:r>
            <w:r>
              <w:rPr>
                <w:rFonts w:ascii="Arial" w:hAnsi="Arial" w:cs="Arial"/>
              </w:rPr>
              <w:t xml:space="preserve">in </w:t>
            </w:r>
            <w:r w:rsidRPr="00CD2056">
              <w:rPr>
                <w:rFonts w:ascii="Arial" w:hAnsi="Arial" w:cs="Arial"/>
              </w:rPr>
              <w:t xml:space="preserve">reducing </w:t>
            </w:r>
            <w:r>
              <w:rPr>
                <w:rFonts w:ascii="Arial" w:hAnsi="Arial" w:cs="Arial"/>
              </w:rPr>
              <w:t xml:space="preserve">alcohol </w:t>
            </w:r>
            <w:r w:rsidRPr="00CD2056">
              <w:rPr>
                <w:rFonts w:ascii="Arial" w:hAnsi="Arial" w:cs="Arial"/>
              </w:rPr>
              <w:t xml:space="preserve">related deaths and </w:t>
            </w:r>
            <w:r>
              <w:rPr>
                <w:rFonts w:ascii="Arial" w:hAnsi="Arial" w:cs="Arial"/>
              </w:rPr>
              <w:t xml:space="preserve">in </w:t>
            </w:r>
            <w:r w:rsidRPr="00CD2056">
              <w:rPr>
                <w:rFonts w:ascii="Arial" w:hAnsi="Arial" w:cs="Arial"/>
              </w:rPr>
              <w:t>reducing crime</w:t>
            </w:r>
            <w:r>
              <w:rPr>
                <w:rFonts w:ascii="Arial" w:hAnsi="Arial" w:cs="Arial"/>
              </w:rPr>
              <w:t xml:space="preserve"> and health costs</w:t>
            </w:r>
            <w:r w:rsidRPr="00CD2056">
              <w:rPr>
                <w:rFonts w:ascii="Arial" w:hAnsi="Arial" w:cs="Arial"/>
              </w:rPr>
              <w:t xml:space="preserve">. The harmful effects of </w:t>
            </w:r>
            <w:r>
              <w:rPr>
                <w:rFonts w:ascii="Arial" w:hAnsi="Arial" w:cs="Arial"/>
              </w:rPr>
              <w:t xml:space="preserve">alcohol </w:t>
            </w:r>
            <w:r w:rsidRPr="00CD2056">
              <w:rPr>
                <w:rFonts w:ascii="Arial" w:hAnsi="Arial" w:cs="Arial"/>
              </w:rPr>
              <w:t>are greater in poorer communities and effective treatment services can play an important role in addressing these inequalities.</w:t>
            </w:r>
            <w:r>
              <w:rPr>
                <w:rFonts w:ascii="Arial" w:hAnsi="Arial" w:cs="Arial"/>
              </w:rPr>
              <w:t xml:space="preserve"> This indicator identifies how well need is being met in local areas.</w:t>
            </w:r>
          </w:p>
        </w:tc>
      </w:tr>
      <w:tr w:rsidR="007A3024" w:rsidRPr="00DA5A5C" w:rsidTr="009D1B0F">
        <w:tc>
          <w:tcPr>
            <w:tcW w:w="3652" w:type="dxa"/>
          </w:tcPr>
          <w:p w:rsidR="007A3024" w:rsidRPr="001C62BC" w:rsidRDefault="007A3024" w:rsidP="00F41D4B">
            <w:pPr>
              <w:rPr>
                <w:rFonts w:ascii="Arial" w:hAnsi="Arial" w:cs="Arial"/>
              </w:rPr>
            </w:pPr>
            <w:r w:rsidRPr="00223D92">
              <w:rPr>
                <w:rFonts w:ascii="Arial" w:hAnsi="Arial" w:cs="Arial"/>
                <w:b/>
                <w:bCs/>
              </w:rPr>
              <w:t>Proportion waiting over three weeks for treatment (%)</w:t>
            </w:r>
            <w:r>
              <w:rPr>
                <w:rFonts w:ascii="Arial" w:hAnsi="Arial" w:cs="Arial"/>
                <w:b/>
                <w:bCs/>
              </w:rPr>
              <w:t xml:space="preserve"> </w:t>
            </w:r>
            <w:r w:rsidRPr="001C62BC">
              <w:rPr>
                <w:rFonts w:ascii="Arial" w:hAnsi="Arial" w:cs="Arial"/>
              </w:rPr>
              <w:t>– the % waiting over 3 weeks</w:t>
            </w:r>
            <w:r>
              <w:rPr>
                <w:rFonts w:ascii="Arial" w:hAnsi="Arial" w:cs="Arial"/>
              </w:rPr>
              <w:t xml:space="preserve"> for treatment</w:t>
            </w:r>
          </w:p>
          <w:p w:rsidR="007A3024" w:rsidRPr="00DA5A5C" w:rsidRDefault="007A3024" w:rsidP="00F41D4B">
            <w:pPr>
              <w:rPr>
                <w:rFonts w:ascii="Arial" w:hAnsi="Arial" w:cs="Arial"/>
              </w:rPr>
            </w:pPr>
          </w:p>
        </w:tc>
        <w:tc>
          <w:tcPr>
            <w:tcW w:w="6428" w:type="dxa"/>
          </w:tcPr>
          <w:p w:rsidR="007A3024" w:rsidRPr="00461873" w:rsidRDefault="007A3024" w:rsidP="00F41D4B">
            <w:pPr>
              <w:rPr>
                <w:rFonts w:ascii="Arial" w:hAnsi="Arial" w:cs="Arial"/>
                <w:color w:val="000000"/>
              </w:rPr>
            </w:pPr>
            <w:r>
              <w:rPr>
                <w:rFonts w:ascii="Arial" w:hAnsi="Arial" w:cs="Arial"/>
              </w:rPr>
              <w:t xml:space="preserve">This indicator measures the proportion of people waiting beyond a </w:t>
            </w:r>
            <w:r w:rsidRPr="001C62BC">
              <w:rPr>
                <w:rFonts w:ascii="Arial" w:hAnsi="Arial" w:cs="Arial"/>
              </w:rPr>
              <w:t>reasonable timescale</w:t>
            </w:r>
            <w:r>
              <w:rPr>
                <w:rFonts w:ascii="Arial" w:hAnsi="Arial" w:cs="Arial"/>
              </w:rPr>
              <w:t xml:space="preserve"> for treatment. </w:t>
            </w:r>
            <w:r w:rsidRPr="00CD2056">
              <w:rPr>
                <w:rFonts w:ascii="Arial" w:hAnsi="Arial" w:cs="Arial"/>
                <w:color w:val="000000"/>
              </w:rPr>
              <w:t>Prompt access to treatment is vital</w:t>
            </w:r>
            <w:r>
              <w:rPr>
                <w:rFonts w:ascii="Arial" w:hAnsi="Arial" w:cs="Arial"/>
                <w:color w:val="000000"/>
              </w:rPr>
              <w:t xml:space="preserve"> in terms of engaging people in treatment</w:t>
            </w:r>
            <w:r w:rsidRPr="00CD2056">
              <w:rPr>
                <w:rFonts w:ascii="Arial" w:hAnsi="Arial" w:cs="Arial"/>
                <w:color w:val="000000"/>
              </w:rPr>
              <w:t>, and long waiting times can be a sign of problems with the availability and/or effectiveness of treatment.</w:t>
            </w:r>
          </w:p>
        </w:tc>
      </w:tr>
      <w:tr w:rsidR="007A3024" w:rsidRPr="00DA5A5C" w:rsidTr="009D1B0F">
        <w:tc>
          <w:tcPr>
            <w:tcW w:w="3652" w:type="dxa"/>
          </w:tcPr>
          <w:p w:rsidR="007A3024" w:rsidRDefault="007A3024" w:rsidP="00F41D4B">
            <w:pPr>
              <w:rPr>
                <w:rFonts w:ascii="Arial" w:hAnsi="Arial" w:cs="Arial"/>
              </w:rPr>
            </w:pPr>
            <w:r w:rsidRPr="00223D92">
              <w:rPr>
                <w:rFonts w:ascii="Arial" w:hAnsi="Arial" w:cs="Arial"/>
                <w:b/>
                <w:bCs/>
              </w:rPr>
              <w:t>Successful completion of treatment (%)</w:t>
            </w:r>
            <w:r>
              <w:rPr>
                <w:rFonts w:ascii="Arial" w:hAnsi="Arial" w:cs="Arial"/>
                <w:b/>
                <w:bCs/>
              </w:rPr>
              <w:t xml:space="preserve"> - </w:t>
            </w:r>
            <w:r w:rsidRPr="007A04D3">
              <w:rPr>
                <w:rFonts w:ascii="Arial" w:hAnsi="Arial" w:cs="Arial"/>
                <w:bCs/>
              </w:rPr>
              <w:t xml:space="preserve">people who do not re-present </w:t>
            </w:r>
            <w:r w:rsidRPr="007A04D3">
              <w:rPr>
                <w:rFonts w:ascii="Arial" w:hAnsi="Arial" w:cs="Arial"/>
              </w:rPr>
              <w:t>within 6 months of completion</w:t>
            </w:r>
            <w:r>
              <w:rPr>
                <w:rFonts w:ascii="Arial" w:hAnsi="Arial" w:cs="Arial"/>
              </w:rPr>
              <w:t xml:space="preserve"> (%)</w:t>
            </w:r>
          </w:p>
          <w:p w:rsidR="007A3024" w:rsidRDefault="007A3024" w:rsidP="00F41D4B">
            <w:pPr>
              <w:rPr>
                <w:rFonts w:ascii="Arial" w:hAnsi="Arial" w:cs="Arial"/>
              </w:rPr>
            </w:pPr>
          </w:p>
          <w:p w:rsidR="007A3024" w:rsidRPr="001C62BC" w:rsidRDefault="007A3024" w:rsidP="00F41D4B">
            <w:pPr>
              <w:rPr>
                <w:rFonts w:ascii="Arial" w:hAnsi="Arial" w:cs="Arial"/>
                <w:sz w:val="16"/>
                <w:szCs w:val="16"/>
              </w:rPr>
            </w:pPr>
          </w:p>
        </w:tc>
        <w:tc>
          <w:tcPr>
            <w:tcW w:w="6428" w:type="dxa"/>
          </w:tcPr>
          <w:p w:rsidR="007A3024" w:rsidRPr="00DA4E53" w:rsidRDefault="007A3024" w:rsidP="00F41D4B">
            <w:pPr>
              <w:shd w:val="clear" w:color="auto" w:fill="FFFFFF"/>
              <w:spacing w:before="45" w:after="45"/>
              <w:rPr>
                <w:rFonts w:ascii="Arial" w:eastAsia="Times New Roman" w:hAnsi="Arial" w:cs="Arial"/>
                <w:lang w:eastAsia="en-GB"/>
              </w:rPr>
            </w:pPr>
            <w:r>
              <w:rPr>
                <w:rFonts w:ascii="Arial" w:eastAsia="Times New Roman" w:hAnsi="Arial" w:cs="Arial"/>
                <w:lang w:eastAsia="en-GB"/>
              </w:rPr>
              <w:t xml:space="preserve">This indicator allows a comparison of recovery rates and can illustrate the effectiveness of a service in a particular area. </w:t>
            </w:r>
            <w:r w:rsidRPr="00DA4E53">
              <w:rPr>
                <w:rFonts w:ascii="Arial" w:eastAsia="Times New Roman" w:hAnsi="Arial" w:cs="Arial"/>
                <w:lang w:eastAsia="en-GB"/>
              </w:rPr>
              <w:t>Individuals achieving this outcome</w:t>
            </w:r>
            <w:r>
              <w:rPr>
                <w:rFonts w:ascii="Arial" w:eastAsia="Times New Roman" w:hAnsi="Arial" w:cs="Arial"/>
                <w:lang w:eastAsia="en-GB"/>
              </w:rPr>
              <w:t xml:space="preserve"> have overcome their alcohol dependence, which can lead to </w:t>
            </w:r>
            <w:r w:rsidRPr="00DA4E53">
              <w:rPr>
                <w:rFonts w:ascii="Arial" w:eastAsia="Times New Roman" w:hAnsi="Arial" w:cs="Arial"/>
                <w:lang w:eastAsia="en-GB"/>
              </w:rPr>
              <w:t>improvement</w:t>
            </w:r>
            <w:r>
              <w:rPr>
                <w:rFonts w:ascii="Arial" w:eastAsia="Times New Roman" w:hAnsi="Arial" w:cs="Arial"/>
                <w:lang w:eastAsia="en-GB"/>
              </w:rPr>
              <w:t>s</w:t>
            </w:r>
            <w:r w:rsidRPr="00DA4E53">
              <w:rPr>
                <w:rFonts w:ascii="Arial" w:eastAsia="Times New Roman" w:hAnsi="Arial" w:cs="Arial"/>
                <w:lang w:eastAsia="en-GB"/>
              </w:rPr>
              <w:t xml:space="preserve"> in health and well-being</w:t>
            </w:r>
            <w:r>
              <w:rPr>
                <w:rFonts w:ascii="Arial" w:eastAsia="Times New Roman" w:hAnsi="Arial" w:cs="Arial"/>
                <w:lang w:eastAsia="en-GB"/>
              </w:rPr>
              <w:t>, reduced mortality,</w:t>
            </w:r>
            <w:r w:rsidRPr="00DA4E53">
              <w:rPr>
                <w:rFonts w:ascii="Arial" w:eastAsia="Times New Roman" w:hAnsi="Arial" w:cs="Arial"/>
                <w:lang w:eastAsia="en-GB"/>
              </w:rPr>
              <w:t xml:space="preserve"> improved parenting and improved physical and psychological health.</w:t>
            </w:r>
          </w:p>
          <w:p w:rsidR="007A3024" w:rsidRPr="00461873" w:rsidRDefault="007A3024" w:rsidP="00F41D4B">
            <w:pPr>
              <w:rPr>
                <w:rFonts w:ascii="Arial" w:eastAsia="Times New Roman" w:hAnsi="Arial" w:cs="Arial"/>
                <w:lang w:eastAsia="en-GB"/>
              </w:rPr>
            </w:pPr>
            <w:r w:rsidRPr="00DA4E53">
              <w:rPr>
                <w:rFonts w:ascii="Arial" w:eastAsia="Times New Roman" w:hAnsi="Arial" w:cs="Arial"/>
                <w:lang w:eastAsia="en-GB"/>
              </w:rPr>
              <w:t xml:space="preserve">It aligns with the </w:t>
            </w:r>
            <w:r>
              <w:rPr>
                <w:rFonts w:ascii="Arial" w:eastAsia="Times New Roman" w:hAnsi="Arial" w:cs="Arial"/>
                <w:lang w:eastAsia="en-GB"/>
              </w:rPr>
              <w:t xml:space="preserve">public health </w:t>
            </w:r>
            <w:r w:rsidRPr="00DA4E53">
              <w:rPr>
                <w:rFonts w:ascii="Arial" w:eastAsia="Times New Roman" w:hAnsi="Arial" w:cs="Arial"/>
                <w:lang w:eastAsia="en-GB"/>
              </w:rPr>
              <w:t xml:space="preserve">ambition of </w:t>
            </w:r>
            <w:r>
              <w:rPr>
                <w:rFonts w:ascii="Arial" w:eastAsia="Times New Roman" w:hAnsi="Arial" w:cs="Arial"/>
                <w:lang w:eastAsia="en-GB"/>
              </w:rPr>
              <w:t xml:space="preserve">the </w:t>
            </w:r>
            <w:r w:rsidRPr="00DA4E53">
              <w:rPr>
                <w:rFonts w:ascii="Arial" w:eastAsia="Times New Roman" w:hAnsi="Arial" w:cs="Arial"/>
                <w:lang w:eastAsia="en-GB"/>
              </w:rPr>
              <w:t xml:space="preserve">Government's drug strategy of increasing the number of individuals recovering from addiction. It also </w:t>
            </w:r>
            <w:r>
              <w:rPr>
                <w:rFonts w:ascii="Arial" w:eastAsia="Times New Roman" w:hAnsi="Arial" w:cs="Arial"/>
                <w:lang w:eastAsia="en-GB"/>
              </w:rPr>
              <w:t>supports</w:t>
            </w:r>
            <w:r w:rsidRPr="00DA4E53">
              <w:rPr>
                <w:rFonts w:ascii="Arial" w:eastAsia="Times New Roman" w:hAnsi="Arial" w:cs="Arial"/>
                <w:lang w:eastAsia="en-GB"/>
              </w:rPr>
              <w:t xml:space="preserve"> reduc</w:t>
            </w:r>
            <w:r>
              <w:rPr>
                <w:rFonts w:ascii="Arial" w:eastAsia="Times New Roman" w:hAnsi="Arial" w:cs="Arial"/>
                <w:lang w:eastAsia="en-GB"/>
              </w:rPr>
              <w:t>tions in</w:t>
            </w:r>
            <w:r w:rsidRPr="00DA4E53">
              <w:rPr>
                <w:rFonts w:ascii="Arial" w:eastAsia="Times New Roman" w:hAnsi="Arial" w:cs="Arial"/>
                <w:lang w:eastAsia="en-GB"/>
              </w:rPr>
              <w:t xml:space="preserve"> re-offending</w:t>
            </w:r>
            <w:r>
              <w:rPr>
                <w:rFonts w:ascii="Arial" w:eastAsia="Times New Roman" w:hAnsi="Arial" w:cs="Arial"/>
                <w:lang w:eastAsia="en-GB"/>
              </w:rPr>
              <w:t>,</w:t>
            </w:r>
            <w:r w:rsidRPr="00DA4E53">
              <w:rPr>
                <w:rFonts w:ascii="Arial" w:eastAsia="Times New Roman" w:hAnsi="Arial" w:cs="Arial"/>
                <w:lang w:eastAsia="en-GB"/>
              </w:rPr>
              <w:t xml:space="preserve"> as offending behaviour is closely linked to substance use and </w:t>
            </w:r>
            <w:r>
              <w:rPr>
                <w:rFonts w:ascii="Arial" w:eastAsia="Times New Roman" w:hAnsi="Arial" w:cs="Arial"/>
                <w:lang w:eastAsia="en-GB"/>
              </w:rPr>
              <w:t xml:space="preserve">there is evidence that treatment </w:t>
            </w:r>
            <w:r w:rsidRPr="00DA4E53">
              <w:rPr>
                <w:rFonts w:ascii="Arial" w:eastAsia="Times New Roman" w:hAnsi="Arial" w:cs="Arial"/>
                <w:lang w:eastAsia="en-GB"/>
              </w:rPr>
              <w:t xml:space="preserve">reduces re-offending significantly. This in turn will have benefits </w:t>
            </w:r>
            <w:r>
              <w:rPr>
                <w:rFonts w:ascii="Arial" w:eastAsia="Times New Roman" w:hAnsi="Arial" w:cs="Arial"/>
                <w:lang w:eastAsia="en-GB"/>
              </w:rPr>
              <w:t>for a wide range of other</w:t>
            </w:r>
            <w:r w:rsidRPr="00DA4E53">
              <w:rPr>
                <w:rFonts w:ascii="Arial" w:eastAsia="Times New Roman" w:hAnsi="Arial" w:cs="Arial"/>
                <w:lang w:eastAsia="en-GB"/>
              </w:rPr>
              <w:t xml:space="preserve"> services</w:t>
            </w:r>
            <w:r>
              <w:rPr>
                <w:rFonts w:ascii="Arial" w:eastAsia="Times New Roman" w:hAnsi="Arial" w:cs="Arial"/>
                <w:lang w:eastAsia="en-GB"/>
              </w:rPr>
              <w:t>.</w:t>
            </w:r>
          </w:p>
        </w:tc>
      </w:tr>
      <w:tr w:rsidR="007A3024" w:rsidRPr="00DA5A5C" w:rsidTr="009D1B0F">
        <w:tc>
          <w:tcPr>
            <w:tcW w:w="3652" w:type="dxa"/>
          </w:tcPr>
          <w:p w:rsidR="007A3024" w:rsidRPr="001C62BC" w:rsidRDefault="007A3024" w:rsidP="00F41D4B">
            <w:pPr>
              <w:rPr>
                <w:rFonts w:ascii="Arial" w:hAnsi="Arial" w:cs="Arial"/>
                <w:b/>
                <w:bCs/>
              </w:rPr>
            </w:pPr>
            <w:r w:rsidRPr="001C62BC">
              <w:rPr>
                <w:rFonts w:ascii="Arial" w:hAnsi="Arial" w:cs="Arial"/>
                <w:b/>
                <w:bCs/>
              </w:rPr>
              <w:t>Deaths in treatment</w:t>
            </w:r>
            <w:r>
              <w:rPr>
                <w:rFonts w:ascii="Arial" w:hAnsi="Arial" w:cs="Arial"/>
                <w:b/>
                <w:bCs/>
              </w:rPr>
              <w:t>, mortality ratio</w:t>
            </w:r>
            <w:r w:rsidRPr="001C62BC">
              <w:rPr>
                <w:rFonts w:ascii="Arial" w:hAnsi="Arial" w:cs="Arial"/>
                <w:b/>
                <w:bCs/>
              </w:rPr>
              <w:t xml:space="preserve"> </w:t>
            </w:r>
            <w:r w:rsidRPr="001C62BC">
              <w:rPr>
                <w:rFonts w:ascii="Arial" w:hAnsi="Arial" w:cs="Arial"/>
                <w:bCs/>
              </w:rPr>
              <w:t>– ratio of observed to expected deaths</w:t>
            </w:r>
          </w:p>
          <w:p w:rsidR="007A3024" w:rsidRPr="001C62BC" w:rsidRDefault="007A3024" w:rsidP="00F41D4B">
            <w:pPr>
              <w:rPr>
                <w:rFonts w:ascii="Arial" w:hAnsi="Arial" w:cs="Arial"/>
                <w:b/>
                <w:bCs/>
              </w:rPr>
            </w:pPr>
          </w:p>
        </w:tc>
        <w:tc>
          <w:tcPr>
            <w:tcW w:w="6428" w:type="dxa"/>
          </w:tcPr>
          <w:p w:rsidR="007A3024" w:rsidRPr="00DA5A5C" w:rsidRDefault="007A3024" w:rsidP="00F41D4B">
            <w:pPr>
              <w:rPr>
                <w:rFonts w:ascii="Arial" w:hAnsi="Arial" w:cs="Arial"/>
              </w:rPr>
            </w:pPr>
            <w:r>
              <w:rPr>
                <w:rFonts w:ascii="Arial" w:hAnsi="Arial" w:cs="Arial"/>
                <w:shd w:val="clear" w:color="auto" w:fill="FFFFFF"/>
              </w:rPr>
              <w:t>This indicator i</w:t>
            </w:r>
            <w:r>
              <w:rPr>
                <w:rFonts w:ascii="Arial" w:hAnsi="Arial" w:cs="Arial"/>
              </w:rPr>
              <w:t>dentifies local authorities</w:t>
            </w:r>
            <w:r w:rsidRPr="001C62BC">
              <w:rPr>
                <w:rFonts w:ascii="Arial" w:hAnsi="Arial" w:cs="Arial"/>
              </w:rPr>
              <w:t xml:space="preserve"> where </w:t>
            </w:r>
            <w:r>
              <w:rPr>
                <w:rFonts w:ascii="Arial" w:hAnsi="Arial" w:cs="Arial"/>
              </w:rPr>
              <w:t xml:space="preserve">deaths in treatment are higher or lower </w:t>
            </w:r>
            <w:r w:rsidRPr="001C62BC">
              <w:rPr>
                <w:rFonts w:ascii="Arial" w:hAnsi="Arial" w:cs="Arial"/>
              </w:rPr>
              <w:t>than expected</w:t>
            </w:r>
            <w:r>
              <w:rPr>
                <w:rFonts w:ascii="Arial" w:hAnsi="Arial" w:cs="Arial"/>
              </w:rPr>
              <w:t>.</w:t>
            </w:r>
            <w:r w:rsidRPr="001C62BC">
              <w:rPr>
                <w:rFonts w:ascii="Arial" w:hAnsi="Arial" w:cs="Arial"/>
              </w:rPr>
              <w:t xml:space="preserve"> </w:t>
            </w:r>
            <w:r>
              <w:rPr>
                <w:rFonts w:ascii="Arial" w:hAnsi="Arial" w:cs="Arial"/>
              </w:rPr>
              <w:t>This rate is indicative of the</w:t>
            </w:r>
            <w:r w:rsidRPr="001C62BC">
              <w:rPr>
                <w:rFonts w:ascii="Arial" w:hAnsi="Arial" w:cs="Arial"/>
              </w:rPr>
              <w:t xml:space="preserve"> </w:t>
            </w:r>
            <w:r>
              <w:rPr>
                <w:rFonts w:ascii="Arial" w:hAnsi="Arial" w:cs="Arial"/>
              </w:rPr>
              <w:t xml:space="preserve">safety, </w:t>
            </w:r>
            <w:r w:rsidRPr="001C62BC">
              <w:rPr>
                <w:rFonts w:ascii="Arial" w:hAnsi="Arial" w:cs="Arial"/>
              </w:rPr>
              <w:t xml:space="preserve">effectiveness </w:t>
            </w:r>
            <w:r>
              <w:rPr>
                <w:rFonts w:ascii="Arial" w:hAnsi="Arial" w:cs="Arial"/>
              </w:rPr>
              <w:t xml:space="preserve">and protection afforded by alcohol treatment </w:t>
            </w:r>
            <w:r w:rsidRPr="001C62BC">
              <w:rPr>
                <w:rFonts w:ascii="Arial" w:hAnsi="Arial" w:cs="Arial"/>
              </w:rPr>
              <w:t>service</w:t>
            </w:r>
            <w:r>
              <w:rPr>
                <w:rFonts w:ascii="Arial" w:hAnsi="Arial" w:cs="Arial"/>
              </w:rPr>
              <w:t>s.</w:t>
            </w:r>
          </w:p>
        </w:tc>
      </w:tr>
    </w:tbl>
    <w:p w:rsidR="007A3024" w:rsidRDefault="007A3024" w:rsidP="007A3024">
      <w:pPr>
        <w:rPr>
          <w:rFonts w:ascii="Arial" w:hAnsi="Arial" w:cs="Arial"/>
          <w:b/>
          <w:color w:val="98002E"/>
          <w:sz w:val="28"/>
          <w:szCs w:val="28"/>
        </w:rPr>
      </w:pPr>
    </w:p>
    <w:p w:rsidR="007A3024" w:rsidRDefault="00CC72A0" w:rsidP="007A3024">
      <w:pPr>
        <w:rPr>
          <w:rFonts w:ascii="Arial" w:hAnsi="Arial" w:cs="Arial"/>
          <w:b/>
          <w:color w:val="98002E"/>
          <w:sz w:val="28"/>
          <w:szCs w:val="28"/>
        </w:rPr>
      </w:pPr>
      <w:r>
        <w:rPr>
          <w:rFonts w:ascii="Arial" w:hAnsi="Arial" w:cs="Arial"/>
          <w:b/>
          <w:color w:val="98002E"/>
          <w:sz w:val="28"/>
          <w:szCs w:val="28"/>
        </w:rPr>
        <w:t>NHS Health Check programme</w:t>
      </w:r>
      <w:r w:rsidR="007A3024">
        <w:rPr>
          <w:rFonts w:ascii="Arial" w:hAnsi="Arial" w:cs="Arial"/>
          <w:b/>
          <w:color w:val="98002E"/>
          <w:sz w:val="28"/>
          <w:szCs w:val="28"/>
        </w:rPr>
        <w:t xml:space="preserve"> </w:t>
      </w:r>
    </w:p>
    <w:tbl>
      <w:tblPr>
        <w:tblStyle w:val="TableGrid"/>
        <w:tblW w:w="0" w:type="auto"/>
        <w:tblLook w:val="04A0" w:firstRow="1" w:lastRow="0" w:firstColumn="1" w:lastColumn="0" w:noHBand="0" w:noVBand="1"/>
      </w:tblPr>
      <w:tblGrid>
        <w:gridCol w:w="3652"/>
        <w:gridCol w:w="6428"/>
      </w:tblGrid>
      <w:tr w:rsidR="007A3024" w:rsidRPr="00DA5A5C" w:rsidTr="009D1B0F">
        <w:tc>
          <w:tcPr>
            <w:tcW w:w="3652"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Pr>
                <w:rFonts w:ascii="Arial" w:hAnsi="Arial" w:cs="Arial"/>
                <w:b/>
                <w:sz w:val="24"/>
                <w:szCs w:val="24"/>
              </w:rPr>
              <w:t>Indicator</w:t>
            </w:r>
            <w:r w:rsidRPr="005E72D0">
              <w:rPr>
                <w:rFonts w:ascii="Arial" w:hAnsi="Arial" w:cs="Arial"/>
                <w:b/>
                <w:sz w:val="24"/>
                <w:szCs w:val="24"/>
              </w:rPr>
              <w:t>s</w:t>
            </w:r>
          </w:p>
        </w:tc>
        <w:tc>
          <w:tcPr>
            <w:tcW w:w="6428"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sidRPr="005E72D0">
              <w:rPr>
                <w:rFonts w:ascii="Arial" w:hAnsi="Arial" w:cs="Arial"/>
                <w:b/>
                <w:sz w:val="24"/>
                <w:szCs w:val="24"/>
              </w:rPr>
              <w:t>Rationale</w:t>
            </w:r>
          </w:p>
        </w:tc>
      </w:tr>
      <w:tr w:rsidR="007A3024" w:rsidRPr="00DA5A5C" w:rsidTr="009D1B0F">
        <w:tc>
          <w:tcPr>
            <w:tcW w:w="3652" w:type="dxa"/>
          </w:tcPr>
          <w:p w:rsidR="007A3024" w:rsidRPr="00552180" w:rsidRDefault="007A3024" w:rsidP="00F41D4B">
            <w:pPr>
              <w:rPr>
                <w:rFonts w:ascii="Arial" w:hAnsi="Arial" w:cs="Arial"/>
              </w:rPr>
            </w:pPr>
            <w:r w:rsidRPr="00851037">
              <w:rPr>
                <w:rFonts w:ascii="Arial" w:hAnsi="Arial" w:cs="Arial"/>
                <w:b/>
              </w:rPr>
              <w:t xml:space="preserve">Proportion </w:t>
            </w:r>
            <w:r w:rsidR="00CC72A0">
              <w:rPr>
                <w:rFonts w:ascii="Arial" w:hAnsi="Arial" w:cs="Arial"/>
                <w:b/>
              </w:rPr>
              <w:t>of eligible population having</w:t>
            </w:r>
            <w:r w:rsidRPr="00851037">
              <w:rPr>
                <w:rFonts w:ascii="Arial" w:hAnsi="Arial" w:cs="Arial"/>
                <w:b/>
              </w:rPr>
              <w:t xml:space="preserve"> an NHS Health Check </w:t>
            </w:r>
            <w:r w:rsidRPr="00851037">
              <w:rPr>
                <w:rFonts w:ascii="Arial" w:hAnsi="Arial" w:cs="Arial"/>
                <w:b/>
              </w:rPr>
              <w:lastRenderedPageBreak/>
              <w:t>(%), aged 40-74</w:t>
            </w:r>
            <w:r>
              <w:rPr>
                <w:rFonts w:ascii="Arial" w:hAnsi="Arial" w:cs="Arial"/>
                <w:b/>
              </w:rPr>
              <w:t xml:space="preserve"> </w:t>
            </w:r>
          </w:p>
        </w:tc>
        <w:tc>
          <w:tcPr>
            <w:tcW w:w="6428" w:type="dxa"/>
          </w:tcPr>
          <w:p w:rsidR="007A3024" w:rsidRPr="00461873" w:rsidRDefault="007A3024" w:rsidP="00F41D4B">
            <w:pPr>
              <w:pStyle w:val="NormalWeb"/>
              <w:shd w:val="clear" w:color="auto" w:fill="FFFFFF"/>
              <w:spacing w:before="0" w:beforeAutospacing="0" w:after="0" w:afterAutospacing="0"/>
              <w:rPr>
                <w:rFonts w:ascii="Arial" w:hAnsi="Arial" w:cs="Arial"/>
                <w:sz w:val="22"/>
                <w:szCs w:val="22"/>
              </w:rPr>
            </w:pPr>
            <w:r w:rsidRPr="00461873">
              <w:rPr>
                <w:rFonts w:ascii="Arial" w:hAnsi="Arial" w:cs="Arial"/>
                <w:sz w:val="22"/>
                <w:szCs w:val="22"/>
              </w:rPr>
              <w:lastRenderedPageBreak/>
              <w:t xml:space="preserve">Local authorities have a legal duty to make arrangements to provide the NHS Health Check programme to 100% of the eligible population over a five year period and to achieve </w:t>
            </w:r>
            <w:r w:rsidRPr="00461873">
              <w:rPr>
                <w:rFonts w:ascii="Arial" w:hAnsi="Arial" w:cs="Arial"/>
                <w:sz w:val="22"/>
                <w:szCs w:val="22"/>
              </w:rPr>
              <w:lastRenderedPageBreak/>
              <w:t>continuous improvement in uptake. A high take up of NHS Health Check is important to identify early signs of poor health leading to opportunities for early interventions.</w:t>
            </w:r>
          </w:p>
          <w:p w:rsidR="007A3024" w:rsidRPr="00461873" w:rsidRDefault="007A3024" w:rsidP="00F41D4B">
            <w:pPr>
              <w:pStyle w:val="NormalWeb"/>
              <w:shd w:val="clear" w:color="auto" w:fill="FFFFFF"/>
              <w:spacing w:before="0" w:beforeAutospacing="0" w:after="0" w:afterAutospacing="0"/>
              <w:rPr>
                <w:rFonts w:ascii="Arial" w:hAnsi="Arial" w:cs="Arial"/>
                <w:sz w:val="22"/>
                <w:szCs w:val="22"/>
              </w:rPr>
            </w:pPr>
          </w:p>
          <w:p w:rsidR="007A3024" w:rsidRPr="00461873" w:rsidRDefault="007A3024" w:rsidP="00F41D4B">
            <w:pPr>
              <w:pStyle w:val="NormalWeb"/>
              <w:shd w:val="clear" w:color="auto" w:fill="FFFFFF"/>
              <w:spacing w:before="0" w:beforeAutospacing="0" w:after="0" w:afterAutospacing="0"/>
              <w:rPr>
                <w:rFonts w:ascii="Arial" w:hAnsi="Arial" w:cs="Arial"/>
                <w:sz w:val="22"/>
                <w:szCs w:val="22"/>
                <w:shd w:val="clear" w:color="auto" w:fill="FFFFFF"/>
              </w:rPr>
            </w:pPr>
            <w:r w:rsidRPr="00461873">
              <w:rPr>
                <w:rFonts w:ascii="Arial" w:hAnsi="Arial" w:cs="Arial"/>
                <w:sz w:val="22"/>
                <w:szCs w:val="22"/>
                <w:shd w:val="clear" w:color="auto" w:fill="FFFFFF"/>
              </w:rPr>
              <w:t>This indicator demonstrates the cumulative progress made by local authorities in the proportion of eligible people having an NHS Health Check.</w:t>
            </w:r>
          </w:p>
          <w:p w:rsidR="007A3024" w:rsidRPr="003C1955" w:rsidRDefault="007A3024" w:rsidP="00F41D4B">
            <w:pPr>
              <w:pStyle w:val="NormalWeb"/>
              <w:shd w:val="clear" w:color="auto" w:fill="FFFFFF"/>
              <w:spacing w:before="0" w:beforeAutospacing="0" w:after="0" w:afterAutospacing="0"/>
              <w:rPr>
                <w:rFonts w:ascii="Arial" w:hAnsi="Arial" w:cs="Arial"/>
                <w:sz w:val="22"/>
                <w:szCs w:val="22"/>
              </w:rPr>
            </w:pPr>
          </w:p>
        </w:tc>
      </w:tr>
      <w:tr w:rsidR="007A3024" w:rsidRPr="00DA5A5C" w:rsidTr="009D1B0F">
        <w:tc>
          <w:tcPr>
            <w:tcW w:w="3652" w:type="dxa"/>
          </w:tcPr>
          <w:p w:rsidR="007A3024" w:rsidRDefault="007A3024" w:rsidP="00F41D4B">
            <w:pPr>
              <w:rPr>
                <w:rFonts w:ascii="Arial" w:hAnsi="Arial" w:cs="Arial"/>
                <w:b/>
              </w:rPr>
            </w:pPr>
            <w:r w:rsidRPr="00851037">
              <w:rPr>
                <w:rFonts w:ascii="Arial" w:hAnsi="Arial" w:cs="Arial"/>
                <w:b/>
              </w:rPr>
              <w:lastRenderedPageBreak/>
              <w:t xml:space="preserve">Proportion of eligible population invited for an NHS Health Check (%), aged 40-74 </w:t>
            </w:r>
          </w:p>
        </w:tc>
        <w:tc>
          <w:tcPr>
            <w:tcW w:w="6428" w:type="dxa"/>
          </w:tcPr>
          <w:p w:rsidR="007A3024" w:rsidRPr="00461873" w:rsidRDefault="007A3024" w:rsidP="00F41D4B">
            <w:pPr>
              <w:pStyle w:val="NormalWeb"/>
              <w:shd w:val="clear" w:color="auto" w:fill="FFFFFF"/>
              <w:spacing w:before="0" w:beforeAutospacing="0" w:after="0" w:afterAutospacing="0"/>
              <w:rPr>
                <w:rFonts w:ascii="Arial" w:hAnsi="Arial" w:cs="Arial"/>
                <w:sz w:val="22"/>
                <w:szCs w:val="22"/>
              </w:rPr>
            </w:pPr>
            <w:r w:rsidRPr="00461873">
              <w:rPr>
                <w:rFonts w:ascii="Arial" w:hAnsi="Arial" w:cs="Arial"/>
                <w:sz w:val="22"/>
                <w:szCs w:val="22"/>
              </w:rPr>
              <w:t xml:space="preserve">Local authorities have a legal duty to make arrangements to provide the NHS Health Check programme to 100% of the eligible population over a five year period and to achieve continuous improvement in eligible people having a check. A high coverage is important to identify early signs of poor health leading to opportunities for early interventions across the population. </w:t>
            </w:r>
          </w:p>
          <w:p w:rsidR="007A3024" w:rsidRPr="00461873" w:rsidRDefault="007A3024" w:rsidP="00F41D4B">
            <w:pPr>
              <w:pStyle w:val="NormalWeb"/>
              <w:shd w:val="clear" w:color="auto" w:fill="FFFFFF"/>
              <w:spacing w:before="0" w:beforeAutospacing="0" w:after="0" w:afterAutospacing="0"/>
              <w:rPr>
                <w:rFonts w:ascii="Arial" w:hAnsi="Arial" w:cs="Arial"/>
                <w:sz w:val="22"/>
                <w:szCs w:val="22"/>
              </w:rPr>
            </w:pPr>
          </w:p>
          <w:p w:rsidR="007A3024" w:rsidRPr="00461873" w:rsidRDefault="007A3024" w:rsidP="00F41D4B">
            <w:pPr>
              <w:pStyle w:val="NormalWeb"/>
              <w:shd w:val="clear" w:color="auto" w:fill="FFFFFF"/>
              <w:spacing w:before="0" w:beforeAutospacing="0" w:after="0" w:afterAutospacing="0"/>
              <w:rPr>
                <w:rFonts w:ascii="Arial" w:hAnsi="Arial" w:cs="Arial"/>
                <w:sz w:val="22"/>
                <w:szCs w:val="22"/>
              </w:rPr>
            </w:pPr>
            <w:r w:rsidRPr="00461873">
              <w:rPr>
                <w:rFonts w:ascii="Arial" w:hAnsi="Arial" w:cs="Arial"/>
                <w:sz w:val="22"/>
                <w:szCs w:val="22"/>
              </w:rPr>
              <w:t>This indicator demonstrates the progress made by local authorities in offering NHS Health Checks.</w:t>
            </w:r>
          </w:p>
          <w:p w:rsidR="007A3024" w:rsidRPr="003C1955" w:rsidRDefault="007A3024" w:rsidP="00F41D4B">
            <w:pPr>
              <w:pStyle w:val="NormalWeb"/>
              <w:shd w:val="clear" w:color="auto" w:fill="FFFFFF"/>
              <w:spacing w:before="0" w:beforeAutospacing="0" w:after="0" w:afterAutospacing="0"/>
              <w:rPr>
                <w:rFonts w:ascii="Arial" w:hAnsi="Arial" w:cs="Arial"/>
                <w:sz w:val="22"/>
                <w:szCs w:val="22"/>
              </w:rPr>
            </w:pPr>
          </w:p>
        </w:tc>
      </w:tr>
    </w:tbl>
    <w:p w:rsidR="007A3024" w:rsidRDefault="007A3024" w:rsidP="007A3024">
      <w:pPr>
        <w:rPr>
          <w:rFonts w:ascii="Arial" w:hAnsi="Arial" w:cs="Arial"/>
          <w:b/>
          <w:color w:val="98002E"/>
          <w:sz w:val="28"/>
          <w:szCs w:val="28"/>
        </w:rPr>
      </w:pPr>
    </w:p>
    <w:p w:rsidR="007A3024" w:rsidRPr="00E054CE" w:rsidRDefault="007A3024" w:rsidP="007A3024">
      <w:pPr>
        <w:rPr>
          <w:rFonts w:ascii="Arial" w:hAnsi="Arial" w:cs="Arial"/>
          <w:b/>
          <w:color w:val="98002E"/>
          <w:sz w:val="28"/>
          <w:szCs w:val="28"/>
        </w:rPr>
      </w:pPr>
      <w:r w:rsidRPr="00534FD5">
        <w:rPr>
          <w:rFonts w:ascii="Arial" w:hAnsi="Arial" w:cs="Arial"/>
          <w:b/>
          <w:color w:val="98002E"/>
          <w:sz w:val="28"/>
          <w:szCs w:val="28"/>
        </w:rPr>
        <w:t xml:space="preserve">Tobacco </w:t>
      </w:r>
      <w:r>
        <w:rPr>
          <w:rFonts w:ascii="Arial" w:hAnsi="Arial" w:cs="Arial"/>
          <w:b/>
          <w:color w:val="98002E"/>
          <w:sz w:val="28"/>
          <w:szCs w:val="28"/>
        </w:rPr>
        <w:t>c</w:t>
      </w:r>
      <w:r w:rsidRPr="00534FD5">
        <w:rPr>
          <w:rFonts w:ascii="Arial" w:hAnsi="Arial" w:cs="Arial"/>
          <w:b/>
          <w:color w:val="98002E"/>
          <w:sz w:val="28"/>
          <w:szCs w:val="28"/>
        </w:rPr>
        <w:t>ontrol</w:t>
      </w:r>
    </w:p>
    <w:tbl>
      <w:tblPr>
        <w:tblStyle w:val="TableGrid"/>
        <w:tblW w:w="0" w:type="auto"/>
        <w:tblLook w:val="04A0" w:firstRow="1" w:lastRow="0" w:firstColumn="1" w:lastColumn="0" w:noHBand="0" w:noVBand="1"/>
      </w:tblPr>
      <w:tblGrid>
        <w:gridCol w:w="3652"/>
        <w:gridCol w:w="6428"/>
      </w:tblGrid>
      <w:tr w:rsidR="007A3024" w:rsidRPr="00DA5A5C" w:rsidTr="009D1B0F">
        <w:tc>
          <w:tcPr>
            <w:tcW w:w="3652"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sidRPr="005E72D0">
              <w:rPr>
                <w:rFonts w:ascii="Arial" w:hAnsi="Arial" w:cs="Arial"/>
                <w:b/>
                <w:sz w:val="24"/>
                <w:szCs w:val="24"/>
              </w:rPr>
              <w:t>Indicators</w:t>
            </w:r>
          </w:p>
        </w:tc>
        <w:tc>
          <w:tcPr>
            <w:tcW w:w="6428" w:type="dxa"/>
            <w:tcBorders>
              <w:bottom w:val="single" w:sz="4" w:space="0" w:color="auto"/>
            </w:tcBorders>
            <w:shd w:val="clear" w:color="auto" w:fill="000000"/>
          </w:tcPr>
          <w:p w:rsidR="007A3024" w:rsidRPr="005E72D0" w:rsidRDefault="007A3024" w:rsidP="00F41D4B">
            <w:pPr>
              <w:jc w:val="center"/>
              <w:rPr>
                <w:rFonts w:ascii="Arial" w:hAnsi="Arial" w:cs="Arial"/>
                <w:b/>
                <w:sz w:val="24"/>
                <w:szCs w:val="24"/>
              </w:rPr>
            </w:pPr>
            <w:r w:rsidRPr="005E72D0">
              <w:rPr>
                <w:rFonts w:ascii="Arial" w:hAnsi="Arial" w:cs="Arial"/>
                <w:b/>
                <w:sz w:val="24"/>
                <w:szCs w:val="24"/>
              </w:rPr>
              <w:t>Rationale</w:t>
            </w:r>
          </w:p>
        </w:tc>
      </w:tr>
      <w:tr w:rsidR="007A3024" w:rsidRPr="00DA5A5C" w:rsidTr="009D1B0F">
        <w:tc>
          <w:tcPr>
            <w:tcW w:w="3652" w:type="dxa"/>
          </w:tcPr>
          <w:p w:rsidR="007A3024" w:rsidRPr="00534FD5" w:rsidRDefault="007A3024" w:rsidP="00F41D4B">
            <w:pPr>
              <w:rPr>
                <w:rFonts w:ascii="Arial" w:hAnsi="Arial" w:cs="Arial"/>
                <w:b/>
              </w:rPr>
            </w:pPr>
            <w:r w:rsidRPr="00F64EB0">
              <w:rPr>
                <w:rFonts w:ascii="Arial" w:hAnsi="Arial" w:cs="Arial"/>
                <w:b/>
              </w:rPr>
              <w:t>Adult smoking prevalence (%)</w:t>
            </w:r>
            <w:r>
              <w:rPr>
                <w:rFonts w:ascii="Arial" w:hAnsi="Arial" w:cs="Arial"/>
                <w:b/>
              </w:rPr>
              <w:t xml:space="preserve"> </w:t>
            </w:r>
            <w:r w:rsidRPr="00534FD5">
              <w:rPr>
                <w:rFonts w:ascii="Arial" w:hAnsi="Arial" w:cs="Arial"/>
              </w:rPr>
              <w:t xml:space="preserve">- </w:t>
            </w:r>
            <w:r>
              <w:rPr>
                <w:rFonts w:ascii="Arial" w:hAnsi="Arial" w:cs="Arial"/>
              </w:rPr>
              <w:t xml:space="preserve">% </w:t>
            </w:r>
            <w:r w:rsidRPr="00534FD5">
              <w:rPr>
                <w:rFonts w:ascii="Arial" w:hAnsi="Arial" w:cs="Arial"/>
              </w:rPr>
              <w:t>persons aged 18 + who are self-reported smokers in the Annual Population Survey</w:t>
            </w:r>
          </w:p>
        </w:tc>
        <w:tc>
          <w:tcPr>
            <w:tcW w:w="6428" w:type="dxa"/>
          </w:tcPr>
          <w:p w:rsidR="007A3024" w:rsidRPr="00DA5A5C" w:rsidRDefault="007A3024" w:rsidP="00F41D4B">
            <w:pPr>
              <w:rPr>
                <w:rFonts w:ascii="Arial" w:hAnsi="Arial" w:cs="Arial"/>
              </w:rPr>
            </w:pPr>
            <w:r>
              <w:rPr>
                <w:rFonts w:ascii="Arial" w:hAnsi="Arial" w:cs="Arial"/>
              </w:rPr>
              <w:t>Smoking is the single largest cause of preventable deaths and one of the largest causes of health inequalities in England. As well as dying prematurely, smokers also suffer many years of poor health. As a consequence of taking action to help reduce the prevalence of smoking, local authorities can take significant progress in their duty to improve the health of people who live in their area.</w:t>
            </w:r>
          </w:p>
        </w:tc>
      </w:tr>
      <w:tr w:rsidR="007A3024" w:rsidRPr="00DA5A5C" w:rsidTr="009D1B0F">
        <w:tc>
          <w:tcPr>
            <w:tcW w:w="3652" w:type="dxa"/>
          </w:tcPr>
          <w:p w:rsidR="007A3024" w:rsidRPr="00534FD5" w:rsidRDefault="007A3024" w:rsidP="00F41D4B">
            <w:pPr>
              <w:rPr>
                <w:rFonts w:ascii="Arial" w:hAnsi="Arial" w:cs="Arial"/>
                <w:b/>
              </w:rPr>
            </w:pPr>
            <w:r w:rsidRPr="00F64EB0">
              <w:rPr>
                <w:rFonts w:ascii="Arial" w:hAnsi="Arial" w:cs="Arial"/>
                <w:b/>
              </w:rPr>
              <w:t>Smoking status at time of delivery (% of mothers)</w:t>
            </w:r>
            <w:r>
              <w:rPr>
                <w:rFonts w:ascii="Arial" w:hAnsi="Arial" w:cs="Arial"/>
                <w:b/>
              </w:rPr>
              <w:t xml:space="preserve"> </w:t>
            </w:r>
            <w:r w:rsidRPr="00654ED5">
              <w:rPr>
                <w:rFonts w:ascii="Arial" w:hAnsi="Arial" w:cs="Arial"/>
              </w:rPr>
              <w:t xml:space="preserve">- </w:t>
            </w:r>
            <w:r>
              <w:rPr>
                <w:rFonts w:ascii="Arial" w:hAnsi="Arial" w:cs="Arial"/>
              </w:rPr>
              <w:t xml:space="preserve">% </w:t>
            </w:r>
            <w:r w:rsidRPr="00654ED5">
              <w:rPr>
                <w:rFonts w:ascii="Arial" w:hAnsi="Arial" w:cs="Arial"/>
              </w:rPr>
              <w:t>of mothers known to be smokers at the time of delivery as a percentage of all maternities.</w:t>
            </w:r>
          </w:p>
        </w:tc>
        <w:tc>
          <w:tcPr>
            <w:tcW w:w="6428" w:type="dxa"/>
          </w:tcPr>
          <w:p w:rsidR="007A3024" w:rsidRPr="00EF1B39" w:rsidRDefault="007A3024" w:rsidP="00F41D4B">
            <w:pPr>
              <w:rPr>
                <w:rFonts w:ascii="Arial" w:hAnsi="Arial" w:cs="Arial"/>
              </w:rPr>
            </w:pPr>
            <w:r>
              <w:rPr>
                <w:rFonts w:ascii="Arial" w:hAnsi="Arial" w:cs="Arial"/>
              </w:rPr>
              <w:t>Smoking during pregnancy increases the risk of stillbirth, and babies born to mothers are more likely to be born underdeveloped and in poor health. Reducing the levels of smoking in this group will help reduce health inequalities and help give children the best start in life.</w:t>
            </w:r>
            <w:r w:rsidR="00CC72A0">
              <w:rPr>
                <w:rFonts w:ascii="Arial" w:hAnsi="Arial" w:cs="Arial"/>
              </w:rPr>
              <w:t xml:space="preserve"> Local Authorities have responsibilities for commissioning stop smoking services and ensuring that these are available to priority populations and those in most need, which include pregnant women.</w:t>
            </w:r>
          </w:p>
          <w:p w:rsidR="007A3024" w:rsidRPr="00DA5A5C" w:rsidRDefault="007A3024" w:rsidP="00F41D4B">
            <w:pPr>
              <w:rPr>
                <w:rFonts w:ascii="Arial" w:hAnsi="Arial" w:cs="Arial"/>
              </w:rPr>
            </w:pPr>
            <w:r w:rsidRPr="00881975">
              <w:rPr>
                <w:rFonts w:ascii="Arial" w:hAnsi="Arial" w:cs="Arial"/>
                <w:shd w:val="clear" w:color="auto" w:fill="FFFFFF"/>
              </w:rPr>
              <w:t>This indicator monitors the progress made in reducing smoking at the time of delivery. </w:t>
            </w:r>
          </w:p>
        </w:tc>
      </w:tr>
    </w:tbl>
    <w:p w:rsidR="007A3024" w:rsidRPr="007A3024" w:rsidRDefault="007A3024" w:rsidP="007A3024">
      <w:pPr>
        <w:rPr>
          <w:b/>
          <w:color w:val="943634"/>
        </w:rPr>
      </w:pPr>
    </w:p>
    <w:p w:rsidR="007A3024" w:rsidRDefault="007A3024" w:rsidP="007A3024">
      <w:pPr>
        <w:rPr>
          <w:rFonts w:ascii="Arial" w:hAnsi="Arial" w:cs="Arial"/>
          <w:b/>
          <w:color w:val="98002E"/>
          <w:sz w:val="28"/>
          <w:szCs w:val="28"/>
        </w:rPr>
      </w:pPr>
      <w:r>
        <w:rPr>
          <w:rFonts w:ascii="Arial" w:hAnsi="Arial" w:cs="Arial"/>
          <w:b/>
          <w:color w:val="98002E"/>
          <w:sz w:val="28"/>
          <w:szCs w:val="28"/>
        </w:rPr>
        <w:t>Sexual Health</w:t>
      </w:r>
    </w:p>
    <w:tbl>
      <w:tblPr>
        <w:tblStyle w:val="TableGrid"/>
        <w:tblW w:w="10173" w:type="dxa"/>
        <w:tblLayout w:type="fixed"/>
        <w:tblLook w:val="04A0" w:firstRow="1" w:lastRow="0" w:firstColumn="1" w:lastColumn="0" w:noHBand="0" w:noVBand="1"/>
      </w:tblPr>
      <w:tblGrid>
        <w:gridCol w:w="3652"/>
        <w:gridCol w:w="6521"/>
      </w:tblGrid>
      <w:tr w:rsidR="007A3024" w:rsidRPr="008C5EEE" w:rsidTr="009D1B0F">
        <w:tc>
          <w:tcPr>
            <w:tcW w:w="3652" w:type="dxa"/>
            <w:tcBorders>
              <w:bottom w:val="single" w:sz="4" w:space="0" w:color="auto"/>
            </w:tcBorders>
            <w:shd w:val="clear" w:color="auto" w:fill="000000"/>
          </w:tcPr>
          <w:p w:rsidR="007A3024" w:rsidRPr="008C5EEE" w:rsidRDefault="007A3024" w:rsidP="00F41D4B">
            <w:pPr>
              <w:jc w:val="center"/>
              <w:rPr>
                <w:rFonts w:ascii="Arial" w:hAnsi="Arial" w:cs="Arial"/>
                <w:b/>
                <w:sz w:val="24"/>
                <w:szCs w:val="24"/>
              </w:rPr>
            </w:pPr>
            <w:r>
              <w:rPr>
                <w:rFonts w:ascii="Arial" w:hAnsi="Arial" w:cs="Arial"/>
                <w:b/>
                <w:sz w:val="24"/>
                <w:szCs w:val="24"/>
              </w:rPr>
              <w:t>Indicator</w:t>
            </w:r>
            <w:r w:rsidRPr="008C5EEE">
              <w:rPr>
                <w:rFonts w:ascii="Arial" w:hAnsi="Arial" w:cs="Arial"/>
                <w:b/>
                <w:sz w:val="24"/>
                <w:szCs w:val="24"/>
              </w:rPr>
              <w:t>s</w:t>
            </w:r>
          </w:p>
        </w:tc>
        <w:tc>
          <w:tcPr>
            <w:tcW w:w="6521" w:type="dxa"/>
            <w:tcBorders>
              <w:bottom w:val="single" w:sz="4" w:space="0" w:color="auto"/>
            </w:tcBorders>
            <w:shd w:val="clear" w:color="auto" w:fill="000000"/>
          </w:tcPr>
          <w:p w:rsidR="007A3024" w:rsidRPr="008C5EEE" w:rsidRDefault="007A3024" w:rsidP="00F41D4B">
            <w:pPr>
              <w:jc w:val="center"/>
              <w:rPr>
                <w:rFonts w:ascii="Arial" w:hAnsi="Arial" w:cs="Arial"/>
                <w:b/>
                <w:sz w:val="24"/>
                <w:szCs w:val="24"/>
              </w:rPr>
            </w:pPr>
            <w:r w:rsidRPr="008C5EEE">
              <w:rPr>
                <w:rFonts w:ascii="Arial" w:hAnsi="Arial" w:cs="Arial"/>
                <w:b/>
                <w:sz w:val="24"/>
                <w:szCs w:val="24"/>
              </w:rPr>
              <w:t>Rationale</w:t>
            </w:r>
          </w:p>
        </w:tc>
      </w:tr>
      <w:tr w:rsidR="007A3024" w:rsidRPr="008C5EEE" w:rsidTr="009D1B0F">
        <w:tc>
          <w:tcPr>
            <w:tcW w:w="3652" w:type="dxa"/>
          </w:tcPr>
          <w:p w:rsidR="007A3024" w:rsidRPr="008C5EEE" w:rsidRDefault="007A3024" w:rsidP="00F41D4B">
            <w:pPr>
              <w:rPr>
                <w:rFonts w:ascii="Arial" w:hAnsi="Arial" w:cs="Arial"/>
                <w:b/>
              </w:rPr>
            </w:pPr>
            <w:r w:rsidRPr="008A726E">
              <w:rPr>
                <w:rFonts w:ascii="Arial" w:hAnsi="Arial" w:cs="Arial"/>
                <w:b/>
              </w:rPr>
              <w:t xml:space="preserve">Chlamydia detection rate </w:t>
            </w:r>
            <w:r>
              <w:rPr>
                <w:rFonts w:ascii="Arial" w:hAnsi="Arial" w:cs="Arial"/>
                <w:b/>
              </w:rPr>
              <w:t>per</w:t>
            </w:r>
            <w:r w:rsidRPr="008A726E">
              <w:rPr>
                <w:rFonts w:ascii="Arial" w:hAnsi="Arial" w:cs="Arial"/>
                <w:b/>
              </w:rPr>
              <w:t xml:space="preserve"> 100,000</w:t>
            </w:r>
            <w:r>
              <w:rPr>
                <w:rFonts w:ascii="Arial" w:hAnsi="Arial" w:cs="Arial"/>
                <w:b/>
              </w:rPr>
              <w:t>,</w:t>
            </w:r>
            <w:r w:rsidRPr="008A726E">
              <w:rPr>
                <w:rFonts w:ascii="Arial" w:hAnsi="Arial" w:cs="Arial"/>
                <w:b/>
              </w:rPr>
              <w:t xml:space="preserve"> aged 15-24</w:t>
            </w:r>
            <w:r>
              <w:rPr>
                <w:rFonts w:ascii="Arial" w:hAnsi="Arial" w:cs="Arial"/>
                <w:b/>
              </w:rPr>
              <w:t xml:space="preserve"> </w:t>
            </w:r>
            <w:r w:rsidRPr="008C5EEE">
              <w:rPr>
                <w:rFonts w:ascii="Arial" w:hAnsi="Arial" w:cs="Arial"/>
                <w:b/>
              </w:rPr>
              <w:t xml:space="preserve">- </w:t>
            </w:r>
            <w:r w:rsidRPr="008C5EEE">
              <w:rPr>
                <w:rFonts w:ascii="Arial" w:hAnsi="Arial" w:cs="Arial"/>
              </w:rPr>
              <w:t xml:space="preserve">Rate of </w:t>
            </w:r>
            <w:r w:rsidRPr="008C5EEE">
              <w:rPr>
                <w:rFonts w:ascii="Arial" w:hAnsi="Arial" w:cs="Arial"/>
              </w:rPr>
              <w:lastRenderedPageBreak/>
              <w:t>chlamydia detection per 100,000 young people aged 15 to 24</w:t>
            </w:r>
            <w:r w:rsidRPr="008C5EEE">
              <w:rPr>
                <w:rFonts w:ascii="Arial" w:hAnsi="Arial" w:cs="Arial"/>
                <w:b/>
              </w:rPr>
              <w:t xml:space="preserve">  </w:t>
            </w:r>
          </w:p>
          <w:p w:rsidR="007A3024" w:rsidRPr="008C5EEE" w:rsidRDefault="007A3024" w:rsidP="00F41D4B">
            <w:pPr>
              <w:rPr>
                <w:rFonts w:ascii="Arial" w:hAnsi="Arial" w:cs="Arial"/>
                <w:b/>
              </w:rPr>
            </w:pPr>
          </w:p>
          <w:p w:rsidR="007A3024" w:rsidRPr="008C5EEE" w:rsidRDefault="007A3024" w:rsidP="00F41D4B">
            <w:pPr>
              <w:rPr>
                <w:rFonts w:ascii="Arial" w:hAnsi="Arial" w:cs="Arial"/>
                <w:b/>
              </w:rPr>
            </w:pPr>
          </w:p>
          <w:p w:rsidR="007A3024" w:rsidRPr="008C5EEE" w:rsidRDefault="007A3024" w:rsidP="00F41D4B">
            <w:pPr>
              <w:rPr>
                <w:rFonts w:ascii="Arial" w:hAnsi="Arial" w:cs="Arial"/>
                <w:b/>
                <w:u w:val="single"/>
              </w:rPr>
            </w:pPr>
          </w:p>
        </w:tc>
        <w:tc>
          <w:tcPr>
            <w:tcW w:w="6521" w:type="dxa"/>
          </w:tcPr>
          <w:p w:rsidR="00431FC6" w:rsidRDefault="007A3024" w:rsidP="00F41D4B">
            <w:pPr>
              <w:rPr>
                <w:rFonts w:ascii="Arial" w:hAnsi="Arial" w:cs="Arial"/>
              </w:rPr>
            </w:pPr>
            <w:r w:rsidRPr="008C5EEE">
              <w:rPr>
                <w:rFonts w:ascii="Arial" w:hAnsi="Arial" w:cs="Arial"/>
              </w:rPr>
              <w:lastRenderedPageBreak/>
              <w:t xml:space="preserve">Chlamydia is the most commonly diagnosed bacterial sexually transmitted infection in England, with rates substantially higher </w:t>
            </w:r>
            <w:r w:rsidRPr="008C5EEE">
              <w:rPr>
                <w:rFonts w:ascii="Arial" w:hAnsi="Arial" w:cs="Arial"/>
              </w:rPr>
              <w:lastRenderedPageBreak/>
              <w:t>in young adults than any other age group. It causes avoidable sexual and reproductive ill-health, including symptomatic acute infections and complications such as pelvic inflammatory disease (PID), ectopic pregnancy and tubal-factor infertility</w:t>
            </w:r>
            <w:r>
              <w:rPr>
                <w:rFonts w:ascii="Arial" w:hAnsi="Arial" w:cs="Arial"/>
              </w:rPr>
              <w:t xml:space="preserve">. </w:t>
            </w:r>
          </w:p>
          <w:p w:rsidR="007A3024" w:rsidRDefault="007A3024" w:rsidP="00F41D4B">
            <w:pPr>
              <w:rPr>
                <w:rFonts w:ascii="Arial" w:hAnsi="Arial" w:cs="Arial"/>
              </w:rPr>
            </w:pPr>
            <w:r w:rsidRPr="00F94FCF">
              <w:rPr>
                <w:rFonts w:ascii="Arial" w:hAnsi="Arial" w:cs="Arial"/>
              </w:rPr>
              <w:t>Chlamydia screening is the responsibility of local authorities</w:t>
            </w:r>
            <w:r w:rsidR="00431FC6">
              <w:rPr>
                <w:rFonts w:ascii="Arial" w:hAnsi="Arial" w:cs="Arial"/>
              </w:rPr>
              <w:t xml:space="preserve"> and the detection rate in under 25 year olds is sensitive to levels of service delivery</w:t>
            </w:r>
            <w:r w:rsidRPr="00F94FCF">
              <w:rPr>
                <w:rFonts w:ascii="Arial" w:hAnsi="Arial" w:cs="Arial"/>
              </w:rPr>
              <w:t>.</w:t>
            </w:r>
          </w:p>
          <w:p w:rsidR="007A3024" w:rsidRPr="0066237C" w:rsidRDefault="007A3024" w:rsidP="00F41D4B">
            <w:pPr>
              <w:rPr>
                <w:rFonts w:ascii="Arial" w:hAnsi="Arial" w:cs="Arial"/>
                <w:color w:val="000000"/>
                <w:lang w:eastAsia="en-GB"/>
              </w:rPr>
            </w:pPr>
            <w:r>
              <w:rPr>
                <w:rFonts w:ascii="Arial" w:hAnsi="Arial" w:cs="Arial"/>
              </w:rPr>
              <w:t>T</w:t>
            </w:r>
            <w:r w:rsidRPr="008C5EEE">
              <w:rPr>
                <w:rFonts w:ascii="Arial" w:hAnsi="Arial" w:cs="Arial"/>
              </w:rPr>
              <w:t>he chlamydia detection rate amongst under 25 year olds is used as a measure of chlamydia control activity.  Thus, unlike the metrics relating to other STIs, a higher detection rate equates to a better outcome as it is a marker of increased control activity</w:t>
            </w:r>
            <w:r w:rsidRPr="008C5EEE">
              <w:rPr>
                <w:rFonts w:ascii="Arial" w:hAnsi="Arial" w:cs="Arial"/>
                <w:color w:val="000000"/>
                <w:lang w:eastAsia="en-GB"/>
              </w:rPr>
              <w:t xml:space="preserve">.  The data are presented and </w:t>
            </w:r>
            <w:r>
              <w:rPr>
                <w:rFonts w:ascii="Arial" w:hAnsi="Arial" w:cs="Arial"/>
                <w:color w:val="000000"/>
                <w:lang w:eastAsia="en-GB"/>
              </w:rPr>
              <w:t>interpreted in this way in the Public Health Outcomes Framework and other profiles.</w:t>
            </w:r>
          </w:p>
        </w:tc>
      </w:tr>
      <w:tr w:rsidR="007A3024" w:rsidRPr="008C5EEE" w:rsidTr="009D1B0F">
        <w:tc>
          <w:tcPr>
            <w:tcW w:w="3652" w:type="dxa"/>
            <w:tcBorders>
              <w:bottom w:val="single" w:sz="4" w:space="0" w:color="auto"/>
            </w:tcBorders>
          </w:tcPr>
          <w:p w:rsidR="007A3024" w:rsidRPr="008C5EEE" w:rsidRDefault="007A3024" w:rsidP="00F41D4B">
            <w:pPr>
              <w:rPr>
                <w:rFonts w:ascii="Arial" w:hAnsi="Arial" w:cs="Arial"/>
                <w:b/>
              </w:rPr>
            </w:pPr>
            <w:r w:rsidRPr="008A726E">
              <w:rPr>
                <w:rFonts w:ascii="Arial" w:hAnsi="Arial" w:cs="Arial"/>
                <w:b/>
              </w:rPr>
              <w:lastRenderedPageBreak/>
              <w:t>HIV testing coverage, total (%)</w:t>
            </w:r>
            <w:r>
              <w:rPr>
                <w:rFonts w:ascii="Arial" w:hAnsi="Arial" w:cs="Arial"/>
                <w:b/>
              </w:rPr>
              <w:t xml:space="preserve"> </w:t>
            </w:r>
            <w:r w:rsidRPr="008C5EEE">
              <w:rPr>
                <w:rFonts w:ascii="Arial" w:hAnsi="Arial" w:cs="Arial"/>
                <w:b/>
              </w:rPr>
              <w:t xml:space="preserve">- </w:t>
            </w:r>
            <w:r w:rsidRPr="008C5EEE">
              <w:rPr>
                <w:rFonts w:ascii="Arial" w:hAnsi="Arial" w:cs="Arial"/>
              </w:rPr>
              <w:t>proportion of ‘eligible new attendees’ in whom a HIV test was accepted</w:t>
            </w:r>
          </w:p>
        </w:tc>
        <w:tc>
          <w:tcPr>
            <w:tcW w:w="6521" w:type="dxa"/>
            <w:tcBorders>
              <w:bottom w:val="single" w:sz="4" w:space="0" w:color="auto"/>
            </w:tcBorders>
          </w:tcPr>
          <w:p w:rsidR="007A3024" w:rsidRDefault="007A3024" w:rsidP="00F41D4B">
            <w:pPr>
              <w:rPr>
                <w:rFonts w:ascii="Arial" w:hAnsi="Arial" w:cs="Arial"/>
              </w:rPr>
            </w:pPr>
            <w:r w:rsidRPr="00371B8F">
              <w:rPr>
                <w:rFonts w:ascii="Arial" w:hAnsi="Arial" w:cs="Arial"/>
              </w:rPr>
              <w:t>This measu</w:t>
            </w:r>
            <w:r>
              <w:rPr>
                <w:rFonts w:ascii="Arial" w:hAnsi="Arial" w:cs="Arial"/>
              </w:rPr>
              <w:t>re of coverage relates to tests offered in specialist g</w:t>
            </w:r>
            <w:r w:rsidRPr="00371B8F">
              <w:rPr>
                <w:rFonts w:ascii="Arial" w:hAnsi="Arial" w:cs="Arial"/>
              </w:rPr>
              <w:t xml:space="preserve">enitourinary medicine </w:t>
            </w:r>
            <w:r>
              <w:rPr>
                <w:rFonts w:ascii="Arial" w:hAnsi="Arial" w:cs="Arial"/>
              </w:rPr>
              <w:t xml:space="preserve">(GUM) </w:t>
            </w:r>
            <w:r w:rsidRPr="00371B8F">
              <w:rPr>
                <w:rFonts w:ascii="Arial" w:hAnsi="Arial" w:cs="Arial"/>
              </w:rPr>
              <w:t>sexual health services. The coverage metric examines the proportion of all those who are eligible (recommended) t</w:t>
            </w:r>
            <w:r>
              <w:rPr>
                <w:rFonts w:ascii="Arial" w:hAnsi="Arial" w:cs="Arial"/>
              </w:rPr>
              <w:t xml:space="preserve">o be tested who receive a test. </w:t>
            </w:r>
            <w:r w:rsidRPr="00371B8F">
              <w:rPr>
                <w:rFonts w:ascii="Arial" w:hAnsi="Arial" w:cs="Arial"/>
              </w:rPr>
              <w:t>It takes into account both the proportion offered a test, and those who accepted.</w:t>
            </w:r>
          </w:p>
          <w:p w:rsidR="007A3024" w:rsidRPr="00371B8F" w:rsidRDefault="007A3024" w:rsidP="00F41D4B">
            <w:pPr>
              <w:rPr>
                <w:rFonts w:ascii="Arial" w:hAnsi="Arial" w:cs="Arial"/>
              </w:rPr>
            </w:pPr>
            <w:r w:rsidRPr="00371B8F">
              <w:rPr>
                <w:rFonts w:ascii="Arial" w:hAnsi="Arial" w:cs="Arial"/>
              </w:rPr>
              <w:t>HIV testing in GUM clinics is part of the open access sexual health services commissioned by local authorities</w:t>
            </w:r>
            <w:r>
              <w:rPr>
                <w:rFonts w:ascii="Arial" w:hAnsi="Arial" w:cs="Arial"/>
              </w:rPr>
              <w:t>.</w:t>
            </w:r>
            <w:r w:rsidRPr="008C5EEE">
              <w:rPr>
                <w:rFonts w:ascii="Arial" w:hAnsi="Arial" w:cs="Arial"/>
              </w:rPr>
              <w:t xml:space="preserve"> HIV testing is integral to the treatment and management of HIV. </w:t>
            </w:r>
          </w:p>
          <w:p w:rsidR="007A3024" w:rsidRPr="008C5EEE" w:rsidRDefault="007A3024" w:rsidP="009D1B0F">
            <w:pPr>
              <w:rPr>
                <w:rFonts w:ascii="Arial" w:hAnsi="Arial" w:cs="Arial"/>
              </w:rPr>
            </w:pPr>
            <w:r w:rsidRPr="008C5EEE">
              <w:rPr>
                <w:rFonts w:ascii="Arial" w:hAnsi="Arial" w:cs="Arial"/>
              </w:rPr>
              <w:t>Knowledge of HIV status and access to treatment increases survival rates, improves quality of life and reduces the risk of HIV transmission.</w:t>
            </w:r>
            <w:r>
              <w:rPr>
                <w:rFonts w:ascii="Arial" w:hAnsi="Arial" w:cs="Arial"/>
              </w:rPr>
              <w:t xml:space="preserve"> </w:t>
            </w:r>
          </w:p>
        </w:tc>
      </w:tr>
      <w:tr w:rsidR="007A3024" w:rsidRPr="008C5EEE" w:rsidTr="009D1B0F">
        <w:tc>
          <w:tcPr>
            <w:tcW w:w="3652" w:type="dxa"/>
          </w:tcPr>
          <w:p w:rsidR="007A3024" w:rsidRPr="009D1B0F" w:rsidRDefault="007A3024" w:rsidP="00F41D4B">
            <w:pPr>
              <w:rPr>
                <w:rFonts w:ascii="Arial" w:hAnsi="Arial" w:cs="Arial"/>
                <w:b/>
              </w:rPr>
            </w:pPr>
            <w:r w:rsidRPr="009D1B0F">
              <w:rPr>
                <w:rFonts w:ascii="Arial" w:hAnsi="Arial" w:cs="Arial"/>
                <w:b/>
                <w:shd w:val="clear" w:color="auto" w:fill="FFFFFF"/>
              </w:rPr>
              <w:t>Total prescribed LARC (excluding injections) rate per 1,000, females aged 15-44</w:t>
            </w:r>
            <w:r w:rsidR="009D1B0F" w:rsidRPr="009D1B0F">
              <w:rPr>
                <w:rFonts w:ascii="Arial" w:hAnsi="Arial" w:cs="Arial"/>
                <w:b/>
                <w:shd w:val="clear" w:color="auto" w:fill="FFFFFF"/>
              </w:rPr>
              <w:t xml:space="preserve"> </w:t>
            </w:r>
            <w:r w:rsidRPr="009D1B0F">
              <w:rPr>
                <w:rFonts w:ascii="Arial" w:hAnsi="Arial" w:cs="Arial"/>
                <w:shd w:val="clear" w:color="auto" w:fill="FFFFFF"/>
              </w:rPr>
              <w:t>- Rate of GP and Sexual and Reproductive Health Services prescribed long acting reversible contraception (LARC), excluding injections</w:t>
            </w:r>
          </w:p>
          <w:p w:rsidR="007A3024" w:rsidRPr="009D1B0F" w:rsidRDefault="007A3024" w:rsidP="00F41D4B">
            <w:pPr>
              <w:rPr>
                <w:rFonts w:ascii="Arial" w:hAnsi="Arial" w:cs="Arial"/>
                <w:b/>
              </w:rPr>
            </w:pPr>
          </w:p>
        </w:tc>
        <w:tc>
          <w:tcPr>
            <w:tcW w:w="6521" w:type="dxa"/>
          </w:tcPr>
          <w:p w:rsidR="007A3024" w:rsidRPr="009D1B0F" w:rsidRDefault="007A3024" w:rsidP="00F41D4B">
            <w:pPr>
              <w:rPr>
                <w:rFonts w:ascii="Arial" w:hAnsi="Arial" w:cs="Arial"/>
              </w:rPr>
            </w:pPr>
            <w:r w:rsidRPr="009D1B0F">
              <w:rPr>
                <w:rFonts w:ascii="Arial" w:hAnsi="Arial" w:cs="Arial"/>
              </w:rPr>
              <w:t>All LARC provision is through local authority commissioning,   either through sexual and reproductive health clinics or as an additional service commissioned from General Practice.</w:t>
            </w:r>
          </w:p>
          <w:p w:rsidR="007A3024" w:rsidRPr="009D1B0F" w:rsidRDefault="007A3024" w:rsidP="00F41D4B">
            <w:pPr>
              <w:rPr>
                <w:rFonts w:ascii="Arial" w:hAnsi="Arial" w:cs="Arial"/>
              </w:rPr>
            </w:pPr>
            <w:r w:rsidRPr="009D1B0F">
              <w:rPr>
                <w:rFonts w:ascii="Arial" w:hAnsi="Arial" w:cs="Arial"/>
              </w:rPr>
              <w:t>An increase in the provision of LARC is a proxy measure for wider access to the range of possible contraceptive methods and should also lead to a reduction in rates of unintended pregnancy.</w:t>
            </w:r>
          </w:p>
          <w:p w:rsidR="007A3024" w:rsidRPr="009D1B0F" w:rsidRDefault="007A3024" w:rsidP="00F41D4B">
            <w:pPr>
              <w:rPr>
                <w:rFonts w:ascii="Arial" w:hAnsi="Arial" w:cs="Arial"/>
              </w:rPr>
            </w:pPr>
            <w:r w:rsidRPr="009D1B0F">
              <w:rPr>
                <w:rFonts w:ascii="Arial" w:hAnsi="Arial" w:cs="Arial"/>
              </w:rPr>
              <w:t xml:space="preserve">This measure is includes prescribed LARC for all age groups accessing these services although it is expressed as a rate per 1,000 females aged 15-44. </w:t>
            </w:r>
          </w:p>
        </w:tc>
      </w:tr>
      <w:tr w:rsidR="007A3024" w:rsidRPr="008C5EEE" w:rsidTr="009D1B0F">
        <w:tc>
          <w:tcPr>
            <w:tcW w:w="3652" w:type="dxa"/>
          </w:tcPr>
          <w:p w:rsidR="007A3024" w:rsidRPr="009D1B0F" w:rsidRDefault="007A3024" w:rsidP="00F41D4B">
            <w:pPr>
              <w:rPr>
                <w:rFonts w:ascii="Arial" w:hAnsi="Arial" w:cs="Arial"/>
                <w:b/>
              </w:rPr>
            </w:pPr>
            <w:r w:rsidRPr="009D1B0F">
              <w:rPr>
                <w:rFonts w:ascii="Arial" w:hAnsi="Arial" w:cs="Arial"/>
                <w:b/>
              </w:rPr>
              <w:t xml:space="preserve">Under 18s conception rate per 1,000 </w:t>
            </w:r>
            <w:r w:rsidRPr="009D1B0F">
              <w:rPr>
                <w:rFonts w:ascii="Arial" w:hAnsi="Arial" w:cs="Arial"/>
              </w:rPr>
              <w:t>- conceptions per 1,000 females aged 15-17</w:t>
            </w:r>
          </w:p>
        </w:tc>
        <w:tc>
          <w:tcPr>
            <w:tcW w:w="6521" w:type="dxa"/>
          </w:tcPr>
          <w:p w:rsidR="007A3024" w:rsidRPr="009D1B0F" w:rsidRDefault="007A3024" w:rsidP="00F41D4B">
            <w:pPr>
              <w:rPr>
                <w:rFonts w:ascii="Arial" w:hAnsi="Arial" w:cs="Arial"/>
              </w:rPr>
            </w:pPr>
            <w:r w:rsidRPr="009D1B0F">
              <w:rPr>
                <w:rFonts w:ascii="Arial" w:hAnsi="Arial" w:cs="Arial"/>
              </w:rPr>
              <w:t>Research evidence shows that teenage pregnancy is associated with poorer outcomes for both young parents and their children. Furthermore most teenage pregnancies are unplanned and around half end in an abortion. As well as it being an avoidable experience for the young woman, abortions represent an avoidable cost to the NHS.</w:t>
            </w:r>
          </w:p>
          <w:p w:rsidR="007A3024" w:rsidRPr="009D1B0F" w:rsidRDefault="007A3024" w:rsidP="00F41D4B">
            <w:pPr>
              <w:rPr>
                <w:rFonts w:ascii="Arial" w:hAnsi="Arial" w:cs="Arial"/>
              </w:rPr>
            </w:pPr>
            <w:r w:rsidRPr="009D1B0F">
              <w:rPr>
                <w:rFonts w:ascii="Arial" w:hAnsi="Arial" w:cs="Arial"/>
              </w:rPr>
              <w:lastRenderedPageBreak/>
              <w:t>This is a direct outcome measure of reproductive health advice and services provision to the most vulnerable population, as well as reflecting the contribution of other services provided by local authorities.</w:t>
            </w:r>
          </w:p>
        </w:tc>
      </w:tr>
    </w:tbl>
    <w:p w:rsidR="007A3024" w:rsidRPr="007A3024" w:rsidRDefault="007A3024" w:rsidP="007A3024">
      <w:pPr>
        <w:rPr>
          <w:b/>
          <w:color w:val="943634"/>
        </w:rPr>
      </w:pPr>
    </w:p>
    <w:p w:rsidR="0057662F" w:rsidRPr="007A3024" w:rsidRDefault="0057662F" w:rsidP="007A3024"/>
    <w:sectPr w:rsidR="0057662F" w:rsidRPr="007A3024" w:rsidSect="00936684">
      <w:headerReference w:type="even" r:id="rId8"/>
      <w:headerReference w:type="default" r:id="rId9"/>
      <w:footerReference w:type="even" r:id="rId10"/>
      <w:footerReference w:type="default" r:id="rId11"/>
      <w:headerReference w:type="first" r:id="rId12"/>
      <w:footerReference w:type="first" r:id="rId13"/>
      <w:type w:val="continuous"/>
      <w:pgSz w:w="11906" w:h="16838"/>
      <w:pgMar w:top="892" w:right="1021" w:bottom="1134" w:left="1021" w:header="1135"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24" w:rsidRDefault="007A3024" w:rsidP="00AD2F73">
      <w:r>
        <w:separator/>
      </w:r>
    </w:p>
  </w:endnote>
  <w:endnote w:type="continuationSeparator" w:id="0">
    <w:p w:rsidR="007A3024" w:rsidRDefault="007A3024"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84" w:rsidRDefault="00936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B3" w:rsidRPr="006A115E" w:rsidRDefault="00315AB3" w:rsidP="006A115E">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1124F3">
      <w:rPr>
        <w:noProof/>
        <w:sz w:val="20"/>
        <w:szCs w:val="20"/>
      </w:rPr>
      <w:t>2</w:t>
    </w:r>
    <w:r w:rsidRPr="005E4A5D">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B3" w:rsidRPr="005E4A5D" w:rsidRDefault="00315AB3" w:rsidP="005E4A5D">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1124F3">
      <w:rPr>
        <w:noProof/>
        <w:sz w:val="20"/>
        <w:szCs w:val="20"/>
      </w:rPr>
      <w:t>1</w:t>
    </w:r>
    <w:r w:rsidRPr="005E4A5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24" w:rsidRDefault="007A3024" w:rsidP="00AD2F73">
      <w:r>
        <w:separator/>
      </w:r>
    </w:p>
  </w:footnote>
  <w:footnote w:type="continuationSeparator" w:id="0">
    <w:p w:rsidR="007A3024" w:rsidRDefault="007A3024" w:rsidP="00AD2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84" w:rsidRDefault="00936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84" w:rsidRDefault="00936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B3" w:rsidRDefault="007A3024" w:rsidP="00AD2F73">
    <w:pPr>
      <w:pStyle w:val="Header"/>
    </w:pPr>
    <w:r>
      <w:rPr>
        <w:noProof/>
        <w:lang w:eastAsia="en-GB"/>
      </w:rPr>
      <w:drawing>
        <wp:anchor distT="0" distB="0" distL="114300" distR="114300" simplePos="0" relativeHeight="251657728" behindDoc="0" locked="0" layoutInCell="1" allowOverlap="1">
          <wp:simplePos x="0" y="0"/>
          <wp:positionH relativeFrom="column">
            <wp:posOffset>-648335</wp:posOffset>
          </wp:positionH>
          <wp:positionV relativeFrom="paragraph">
            <wp:posOffset>-732155</wp:posOffset>
          </wp:positionV>
          <wp:extent cx="4065270" cy="2007870"/>
          <wp:effectExtent l="0" t="0" r="0" b="0"/>
          <wp:wrapTopAndBottom/>
          <wp:docPr id="1" name="Picture 2"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77DD3"/>
    <w:multiLevelType w:val="hybridMultilevel"/>
    <w:tmpl w:val="CDC6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24"/>
    <w:rsid w:val="0001276E"/>
    <w:rsid w:val="000742C2"/>
    <w:rsid w:val="00096FFC"/>
    <w:rsid w:val="000C50FB"/>
    <w:rsid w:val="000D5B3F"/>
    <w:rsid w:val="000E193A"/>
    <w:rsid w:val="000E4865"/>
    <w:rsid w:val="001124F3"/>
    <w:rsid w:val="00151D61"/>
    <w:rsid w:val="00154084"/>
    <w:rsid w:val="0019479C"/>
    <w:rsid w:val="001F6988"/>
    <w:rsid w:val="002111C8"/>
    <w:rsid w:val="00237976"/>
    <w:rsid w:val="00270D62"/>
    <w:rsid w:val="002B158C"/>
    <w:rsid w:val="002C2E25"/>
    <w:rsid w:val="00303D9F"/>
    <w:rsid w:val="00315AB3"/>
    <w:rsid w:val="00364873"/>
    <w:rsid w:val="00394631"/>
    <w:rsid w:val="003A000A"/>
    <w:rsid w:val="003B3383"/>
    <w:rsid w:val="003F071F"/>
    <w:rsid w:val="003F66F5"/>
    <w:rsid w:val="00411FD9"/>
    <w:rsid w:val="00415F3E"/>
    <w:rsid w:val="00425B35"/>
    <w:rsid w:val="00431FC6"/>
    <w:rsid w:val="00461873"/>
    <w:rsid w:val="004B70A8"/>
    <w:rsid w:val="00517170"/>
    <w:rsid w:val="005342B6"/>
    <w:rsid w:val="005629A6"/>
    <w:rsid w:val="0057662F"/>
    <w:rsid w:val="00576873"/>
    <w:rsid w:val="005B0D4C"/>
    <w:rsid w:val="005B2384"/>
    <w:rsid w:val="005C6114"/>
    <w:rsid w:val="005E4A5D"/>
    <w:rsid w:val="00636A73"/>
    <w:rsid w:val="0066498D"/>
    <w:rsid w:val="00677382"/>
    <w:rsid w:val="006778CF"/>
    <w:rsid w:val="00696F5B"/>
    <w:rsid w:val="006A115E"/>
    <w:rsid w:val="006B1EEC"/>
    <w:rsid w:val="006B42FE"/>
    <w:rsid w:val="006D3FD0"/>
    <w:rsid w:val="00713811"/>
    <w:rsid w:val="007403F6"/>
    <w:rsid w:val="0075105C"/>
    <w:rsid w:val="00757153"/>
    <w:rsid w:val="00780F04"/>
    <w:rsid w:val="007A3024"/>
    <w:rsid w:val="007C460C"/>
    <w:rsid w:val="007D6212"/>
    <w:rsid w:val="007E1EE0"/>
    <w:rsid w:val="007E5FEC"/>
    <w:rsid w:val="007E6EB2"/>
    <w:rsid w:val="00844C9D"/>
    <w:rsid w:val="00850E60"/>
    <w:rsid w:val="00864BA5"/>
    <w:rsid w:val="00891799"/>
    <w:rsid w:val="00893C64"/>
    <w:rsid w:val="008A34C2"/>
    <w:rsid w:val="008D6BA4"/>
    <w:rsid w:val="008F3AC3"/>
    <w:rsid w:val="00900854"/>
    <w:rsid w:val="00925D4B"/>
    <w:rsid w:val="0093425F"/>
    <w:rsid w:val="00936684"/>
    <w:rsid w:val="009D1B0F"/>
    <w:rsid w:val="009F0B27"/>
    <w:rsid w:val="00A053AE"/>
    <w:rsid w:val="00A13920"/>
    <w:rsid w:val="00AB7020"/>
    <w:rsid w:val="00AD2F73"/>
    <w:rsid w:val="00B359C6"/>
    <w:rsid w:val="00BE3227"/>
    <w:rsid w:val="00BF13D8"/>
    <w:rsid w:val="00BF28E3"/>
    <w:rsid w:val="00C04FC0"/>
    <w:rsid w:val="00C20E27"/>
    <w:rsid w:val="00C62D09"/>
    <w:rsid w:val="00C6305C"/>
    <w:rsid w:val="00CB5ABF"/>
    <w:rsid w:val="00CC72A0"/>
    <w:rsid w:val="00CD17CE"/>
    <w:rsid w:val="00CD1E9C"/>
    <w:rsid w:val="00CD39A5"/>
    <w:rsid w:val="00D24ECB"/>
    <w:rsid w:val="00E13E23"/>
    <w:rsid w:val="00E14D00"/>
    <w:rsid w:val="00E46D04"/>
    <w:rsid w:val="00E70004"/>
    <w:rsid w:val="00E7584C"/>
    <w:rsid w:val="00E7633A"/>
    <w:rsid w:val="00EB260A"/>
    <w:rsid w:val="00EB3E86"/>
    <w:rsid w:val="00F65D29"/>
    <w:rsid w:val="00FD0D3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Normal">
    <w:name w:val="Normal"/>
    <w:qFormat/>
    <w:rsid w:val="007A3024"/>
    <w:pPr>
      <w:spacing w:after="200" w:line="276" w:lineRule="auto"/>
    </w:pPr>
    <w:rPr>
      <w:sz w:val="22"/>
      <w:szCs w:val="22"/>
      <w:lang w:eastAsia="en-US"/>
    </w:rPr>
  </w:style>
  <w:style w:type="paragraph" w:styleId="Heading1">
    <w:name w:val="heading 1"/>
    <w:basedOn w:val="Normal"/>
    <w:next w:val="Normal"/>
    <w:link w:val="Heading1Char"/>
    <w:uiPriority w:val="99"/>
    <w:qFormat/>
    <w:rsid w:val="00096FFC"/>
    <w:pPr>
      <w:keepNext/>
      <w:spacing w:before="240" w:after="60" w:line="320" w:lineRule="exact"/>
      <w:outlineLvl w:val="0"/>
    </w:pPr>
    <w:rPr>
      <w:rFonts w:ascii="Arial" w:eastAsia="Times New Roman" w:hAnsi="Arial"/>
      <w:bCs/>
      <w:kern w:val="32"/>
      <w:sz w:val="40"/>
      <w:szCs w:val="32"/>
    </w:rPr>
  </w:style>
  <w:style w:type="paragraph" w:styleId="Heading2">
    <w:name w:val="heading 2"/>
    <w:basedOn w:val="Normal"/>
    <w:next w:val="Normal"/>
    <w:link w:val="Heading2Char"/>
    <w:uiPriority w:val="99"/>
    <w:qFormat/>
    <w:rsid w:val="00891799"/>
    <w:pPr>
      <w:keepNext/>
      <w:keepLines/>
      <w:spacing w:before="200" w:after="0" w:line="320" w:lineRule="exact"/>
      <w:outlineLvl w:val="1"/>
    </w:pPr>
    <w:rPr>
      <w:rFonts w:ascii="Arial" w:eastAsia="Times New Roman" w:hAnsi="Arial"/>
      <w:b/>
      <w:bCs/>
      <w:color w:val="000000"/>
      <w:sz w:val="26"/>
      <w:szCs w:val="26"/>
    </w:rPr>
  </w:style>
  <w:style w:type="paragraph" w:styleId="Heading3">
    <w:name w:val="heading 3"/>
    <w:basedOn w:val="Normal"/>
    <w:next w:val="Normal"/>
    <w:link w:val="Heading3Char"/>
    <w:uiPriority w:val="99"/>
    <w:qFormat/>
    <w:rsid w:val="00891799"/>
    <w:pPr>
      <w:keepNext/>
      <w:keepLines/>
      <w:spacing w:before="200" w:after="0" w:line="320" w:lineRule="exact"/>
      <w:outlineLvl w:val="2"/>
    </w:pPr>
    <w:rPr>
      <w:rFonts w:ascii="Arial" w:eastAsia="Times New Roman"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after="0" w:line="200" w:lineRule="exact"/>
    </w:pPr>
    <w:rPr>
      <w:rFonts w:ascii="Arial" w:hAnsi="Arial"/>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after="0" w:line="240" w:lineRule="auto"/>
    </w:pPr>
    <w:rPr>
      <w:rFonts w:ascii="Arial" w:hAnsi="Arial"/>
      <w:sz w:val="24"/>
      <w:szCs w:val="24"/>
    </w:r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ascii="Arial" w:eastAsia="Times New Roman" w:hAnsi="Arial"/>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spacing w:after="0" w:line="320" w:lineRule="exact"/>
    </w:pPr>
    <w:rPr>
      <w:rFonts w:ascii="Arial" w:eastAsia="Times New Roman" w:hAnsi="Arial"/>
      <w:i/>
      <w:iCs/>
      <w:spacing w:val="15"/>
      <w:sz w:val="24"/>
      <w:szCs w:val="24"/>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1"/>
    <w:qFormat/>
    <w:rsid w:val="001F6988"/>
    <w:rPr>
      <w:rFonts w:ascii="Arial" w:hAnsi="Arial"/>
      <w:sz w:val="24"/>
      <w:szCs w:val="24"/>
      <w:lang w:eastAsia="en-US"/>
    </w:rPr>
  </w:style>
  <w:style w:type="table" w:styleId="TableGrid">
    <w:name w:val="Table Grid"/>
    <w:basedOn w:val="TableNormal"/>
    <w:uiPriority w:val="59"/>
    <w:rsid w:val="007A30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024"/>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Normal">
    <w:name w:val="Normal"/>
    <w:qFormat/>
    <w:rsid w:val="007A3024"/>
    <w:pPr>
      <w:spacing w:after="200" w:line="276" w:lineRule="auto"/>
    </w:pPr>
    <w:rPr>
      <w:sz w:val="22"/>
      <w:szCs w:val="22"/>
      <w:lang w:eastAsia="en-US"/>
    </w:rPr>
  </w:style>
  <w:style w:type="paragraph" w:styleId="Heading1">
    <w:name w:val="heading 1"/>
    <w:basedOn w:val="Normal"/>
    <w:next w:val="Normal"/>
    <w:link w:val="Heading1Char"/>
    <w:uiPriority w:val="99"/>
    <w:qFormat/>
    <w:rsid w:val="00096FFC"/>
    <w:pPr>
      <w:keepNext/>
      <w:spacing w:before="240" w:after="60" w:line="320" w:lineRule="exact"/>
      <w:outlineLvl w:val="0"/>
    </w:pPr>
    <w:rPr>
      <w:rFonts w:ascii="Arial" w:eastAsia="Times New Roman" w:hAnsi="Arial"/>
      <w:bCs/>
      <w:kern w:val="32"/>
      <w:sz w:val="40"/>
      <w:szCs w:val="32"/>
    </w:rPr>
  </w:style>
  <w:style w:type="paragraph" w:styleId="Heading2">
    <w:name w:val="heading 2"/>
    <w:basedOn w:val="Normal"/>
    <w:next w:val="Normal"/>
    <w:link w:val="Heading2Char"/>
    <w:uiPriority w:val="99"/>
    <w:qFormat/>
    <w:rsid w:val="00891799"/>
    <w:pPr>
      <w:keepNext/>
      <w:keepLines/>
      <w:spacing w:before="200" w:after="0" w:line="320" w:lineRule="exact"/>
      <w:outlineLvl w:val="1"/>
    </w:pPr>
    <w:rPr>
      <w:rFonts w:ascii="Arial" w:eastAsia="Times New Roman" w:hAnsi="Arial"/>
      <w:b/>
      <w:bCs/>
      <w:color w:val="000000"/>
      <w:sz w:val="26"/>
      <w:szCs w:val="26"/>
    </w:rPr>
  </w:style>
  <w:style w:type="paragraph" w:styleId="Heading3">
    <w:name w:val="heading 3"/>
    <w:basedOn w:val="Normal"/>
    <w:next w:val="Normal"/>
    <w:link w:val="Heading3Char"/>
    <w:uiPriority w:val="99"/>
    <w:qFormat/>
    <w:rsid w:val="00891799"/>
    <w:pPr>
      <w:keepNext/>
      <w:keepLines/>
      <w:spacing w:before="200" w:after="0" w:line="320" w:lineRule="exact"/>
      <w:outlineLvl w:val="2"/>
    </w:pPr>
    <w:rPr>
      <w:rFonts w:ascii="Arial" w:eastAsia="Times New Roman"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after="0" w:line="200" w:lineRule="exact"/>
    </w:pPr>
    <w:rPr>
      <w:rFonts w:ascii="Arial" w:hAnsi="Arial"/>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after="0" w:line="240" w:lineRule="auto"/>
    </w:pPr>
    <w:rPr>
      <w:rFonts w:ascii="Arial" w:hAnsi="Arial"/>
      <w:sz w:val="24"/>
      <w:szCs w:val="24"/>
    </w:r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ascii="Arial" w:eastAsia="Times New Roman" w:hAnsi="Arial"/>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spacing w:after="0" w:line="320" w:lineRule="exact"/>
    </w:pPr>
    <w:rPr>
      <w:rFonts w:ascii="Arial" w:eastAsia="Times New Roman" w:hAnsi="Arial"/>
      <w:i/>
      <w:iCs/>
      <w:spacing w:val="15"/>
      <w:sz w:val="24"/>
      <w:szCs w:val="24"/>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1"/>
    <w:qFormat/>
    <w:rsid w:val="001F6988"/>
    <w:rPr>
      <w:rFonts w:ascii="Arial" w:hAnsi="Arial"/>
      <w:sz w:val="24"/>
      <w:szCs w:val="24"/>
      <w:lang w:eastAsia="en-US"/>
    </w:rPr>
  </w:style>
  <w:style w:type="table" w:styleId="TableGrid">
    <w:name w:val="Table Grid"/>
    <w:basedOn w:val="TableNormal"/>
    <w:uiPriority w:val="59"/>
    <w:rsid w:val="007A30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02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coyle\Downloads\Plain-documen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Plain-document (2).dot</Template>
  <TotalTime>7</TotalTime>
  <Pages>7</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Plain document</vt:lpstr>
    </vt:vector>
  </TitlesOfParts>
  <Company/>
  <LinksUpToDate>false</LinksUpToDate>
  <CharactersWithSpaces>14966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Nicholas Coyle</dc:creator>
  <cp:lastModifiedBy>Nicholas Coyle</cp:lastModifiedBy>
  <cp:revision>4</cp:revision>
  <dcterms:created xsi:type="dcterms:W3CDTF">2017-10-05T09:38:00Z</dcterms:created>
  <dcterms:modified xsi:type="dcterms:W3CDTF">2017-10-05T12:39:00Z</dcterms:modified>
</cp:coreProperties>
</file>